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1390" w:rsidRDefault="00F67470">
      <w:pPr>
        <w:pStyle w:val="normal0"/>
        <w:spacing w:line="240" w:lineRule="auto"/>
        <w:jc w:val="right"/>
      </w:pPr>
      <w:bookmarkStart w:id="0" w:name="_GoBack"/>
      <w:bookmarkEnd w:id="0"/>
      <w:r>
        <w:rPr>
          <w:rFonts w:ascii="Times New Roman" w:eastAsia="Times New Roman" w:hAnsi="Times New Roman" w:cs="Times New Roman"/>
          <w:sz w:val="24"/>
        </w:rPr>
        <w:t xml:space="preserve">Joseph </w:t>
      </w:r>
      <w:proofErr w:type="spellStart"/>
      <w:r>
        <w:rPr>
          <w:rFonts w:ascii="Times New Roman" w:eastAsia="Times New Roman" w:hAnsi="Times New Roman" w:cs="Times New Roman"/>
          <w:sz w:val="24"/>
        </w:rPr>
        <w:t>Ayar</w:t>
      </w:r>
      <w:proofErr w:type="spellEnd"/>
    </w:p>
    <w:p w:rsidR="00CC1390" w:rsidRDefault="00F67470">
      <w:pPr>
        <w:pStyle w:val="normal0"/>
        <w:spacing w:line="240" w:lineRule="auto"/>
        <w:jc w:val="right"/>
      </w:pPr>
      <w:r>
        <w:rPr>
          <w:rFonts w:ascii="Times New Roman" w:eastAsia="Times New Roman" w:hAnsi="Times New Roman" w:cs="Times New Roman"/>
          <w:sz w:val="24"/>
        </w:rPr>
        <w:t>IP Theory – SAWR</w:t>
      </w:r>
    </w:p>
    <w:p w:rsidR="00CC1390" w:rsidRDefault="00F67470">
      <w:pPr>
        <w:pStyle w:val="normal0"/>
        <w:spacing w:line="240" w:lineRule="auto"/>
        <w:jc w:val="right"/>
      </w:pPr>
      <w:r>
        <w:rPr>
          <w:rFonts w:ascii="Times New Roman" w:eastAsia="Times New Roman" w:hAnsi="Times New Roman" w:cs="Times New Roman"/>
          <w:sz w:val="24"/>
        </w:rPr>
        <w:t>Dr. Friedman</w:t>
      </w:r>
    </w:p>
    <w:p w:rsidR="00CC1390" w:rsidRDefault="00F67470">
      <w:pPr>
        <w:pStyle w:val="normal0"/>
        <w:jc w:val="right"/>
      </w:pPr>
      <w:r>
        <w:rPr>
          <w:rFonts w:ascii="Times New Roman" w:eastAsia="Times New Roman" w:hAnsi="Times New Roman" w:cs="Times New Roman"/>
          <w:sz w:val="24"/>
        </w:rPr>
        <w:t>October 18, 2014</w:t>
      </w:r>
    </w:p>
    <w:p w:rsidR="00CC1390" w:rsidRDefault="00CC1390">
      <w:pPr>
        <w:pStyle w:val="normal0"/>
        <w:jc w:val="center"/>
      </w:pPr>
    </w:p>
    <w:p w:rsidR="00CC1390" w:rsidRDefault="00F67470">
      <w:pPr>
        <w:pStyle w:val="normal0"/>
        <w:numPr>
          <w:ilvl w:val="0"/>
          <w:numId w:val="1"/>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u w:val="single"/>
        </w:rPr>
        <w:t xml:space="preserve">UNDER CURRENT UNITED STATES JURISPRUDENCE, TRANSGENIC HUMAN CLONES SHOULD BE ENTITLED TO PATENT PROTECTION. </w:t>
      </w:r>
    </w:p>
    <w:p w:rsidR="00CC1390" w:rsidRDefault="00CC1390">
      <w:pPr>
        <w:pStyle w:val="normal0"/>
      </w:pPr>
    </w:p>
    <w:p w:rsidR="00CC1390" w:rsidRDefault="00F67470">
      <w:pPr>
        <w:pStyle w:val="normal0"/>
        <w:ind w:firstLine="720"/>
      </w:pPr>
      <w:r>
        <w:rPr>
          <w:rFonts w:ascii="Times New Roman" w:eastAsia="Times New Roman" w:hAnsi="Times New Roman" w:cs="Times New Roman"/>
          <w:sz w:val="24"/>
        </w:rPr>
        <w:t>The United States has historically given a relatively wide berth to those seeking patent protection, and understandably so. First codified at the federal level in the Constitution, this right to intellectual property protection is seen as fundamentally cru</w:t>
      </w:r>
      <w:r>
        <w:rPr>
          <w:rFonts w:ascii="Times New Roman" w:eastAsia="Times New Roman" w:hAnsi="Times New Roman" w:cs="Times New Roman"/>
          <w:sz w:val="24"/>
        </w:rPr>
        <w:t>cial to progress. Specifically, Article I, Section 8 of the United States Constitution states that “Congress shall have Power [...] to promote the Progress of Science and useful Arts, by</w:t>
      </w:r>
      <w:r>
        <w:rPr>
          <w:rFonts w:ascii="Times New Roman" w:eastAsia="Times New Roman" w:hAnsi="Times New Roman" w:cs="Times New Roman"/>
          <w:sz w:val="24"/>
          <w:highlight w:val="white"/>
        </w:rPr>
        <w:t xml:space="preserve"> securing for limited Times to Authors and Inventors the exclusive Rig</w:t>
      </w:r>
      <w:r>
        <w:rPr>
          <w:rFonts w:ascii="Times New Roman" w:eastAsia="Times New Roman" w:hAnsi="Times New Roman" w:cs="Times New Roman"/>
          <w:sz w:val="24"/>
          <w:highlight w:val="white"/>
        </w:rPr>
        <w:t xml:space="preserve">ht to their respective Writings and Discoveries.” This right to intellectual monopoly, however, necessarily requires limitations. </w:t>
      </w:r>
      <w:r>
        <w:rPr>
          <w:rFonts w:ascii="Times New Roman" w:eastAsia="Times New Roman" w:hAnsi="Times New Roman" w:cs="Times New Roman"/>
          <w:sz w:val="24"/>
        </w:rPr>
        <w:t xml:space="preserve"> </w:t>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rPr>
        <w:t>United States patentable subject matter includes “</w:t>
      </w:r>
      <w:r>
        <w:rPr>
          <w:rFonts w:ascii="Times New Roman" w:eastAsia="Times New Roman" w:hAnsi="Times New Roman" w:cs="Times New Roman"/>
          <w:sz w:val="24"/>
          <w:highlight w:val="white"/>
        </w:rPr>
        <w:t>any new and useful process, machine, manufacture, or composition of matte</w:t>
      </w:r>
      <w:r>
        <w:rPr>
          <w:rFonts w:ascii="Times New Roman" w:eastAsia="Times New Roman" w:hAnsi="Times New Roman" w:cs="Times New Roman"/>
          <w:sz w:val="24"/>
          <w:highlight w:val="white"/>
        </w:rPr>
        <w:t>r, or any new and useful improvement thereof.”</w:t>
      </w:r>
      <w:r>
        <w:rPr>
          <w:rFonts w:ascii="Times New Roman" w:eastAsia="Times New Roman" w:hAnsi="Times New Roman" w:cs="Times New Roman"/>
          <w:sz w:val="24"/>
          <w:highlight w:val="white"/>
          <w:vertAlign w:val="superscript"/>
        </w:rPr>
        <w:footnoteReference w:id="1"/>
      </w:r>
      <w:r>
        <w:rPr>
          <w:rFonts w:ascii="Times New Roman" w:eastAsia="Times New Roman" w:hAnsi="Times New Roman" w:cs="Times New Roman"/>
          <w:sz w:val="24"/>
        </w:rPr>
        <w:t xml:space="preserve"> Current United States Patent Office (USPTO) policy dictates that no patent protection be given to a claim attempting to patent a law of nature, a natural phenomenon, or a naturally occurring relation or corre</w:t>
      </w:r>
      <w:r>
        <w:rPr>
          <w:rFonts w:ascii="Times New Roman" w:eastAsia="Times New Roman" w:hAnsi="Times New Roman" w:cs="Times New Roman"/>
          <w:sz w:val="24"/>
        </w:rPr>
        <w:t>lation. Additionally any claim directed to or encompassing a human organism is presumed invalid.</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Specifically, the Manual of Patent Examining Procedure (MPEP) </w:t>
      </w:r>
      <w:r>
        <w:rPr>
          <w:rFonts w:ascii="Times New Roman" w:eastAsia="Times New Roman" w:hAnsi="Times New Roman" w:cs="Times New Roman"/>
          <w:sz w:val="24"/>
          <w:highlight w:val="white"/>
        </w:rPr>
        <w:t xml:space="preserve">§ 2105, as well as the America Invents Act (AIA), each codify this rule. </w:t>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highlight w:val="white"/>
        </w:rPr>
        <w:t xml:space="preserve">Under current United </w:t>
      </w:r>
      <w:r>
        <w:rPr>
          <w:rFonts w:ascii="Times New Roman" w:eastAsia="Times New Roman" w:hAnsi="Times New Roman" w:cs="Times New Roman"/>
          <w:sz w:val="24"/>
          <w:highlight w:val="white"/>
        </w:rPr>
        <w:t>States jurisprudence, however, non-naturally occurring non-human multicellular organisms, including animals, have been granted patent protection.</w:t>
      </w:r>
      <w:r>
        <w:rPr>
          <w:rFonts w:ascii="Times New Roman" w:eastAsia="Times New Roman" w:hAnsi="Times New Roman" w:cs="Times New Roman"/>
          <w:sz w:val="24"/>
          <w:highlight w:val="white"/>
          <w:vertAlign w:val="superscript"/>
        </w:rPr>
        <w:footnoteReference w:id="3"/>
      </w:r>
      <w:r>
        <w:rPr>
          <w:rFonts w:ascii="Times New Roman" w:eastAsia="Times New Roman" w:hAnsi="Times New Roman" w:cs="Times New Roman"/>
          <w:sz w:val="24"/>
          <w:highlight w:val="white"/>
        </w:rPr>
        <w:t xml:space="preserve"> Consequently, current USPTO guidelines reinforce this broad interpretation of the patentable subject matter.</w:t>
      </w:r>
      <w:r>
        <w:rPr>
          <w:rFonts w:ascii="Times New Roman" w:eastAsia="Times New Roman" w:hAnsi="Times New Roman" w:cs="Times New Roman"/>
          <w:sz w:val="24"/>
          <w:highlight w:val="white"/>
          <w:vertAlign w:val="superscript"/>
        </w:rPr>
        <w:footnoteReference w:id="4"/>
      </w:r>
      <w:r>
        <w:rPr>
          <w:rFonts w:ascii="Times New Roman" w:eastAsia="Times New Roman" w:hAnsi="Times New Roman" w:cs="Times New Roman"/>
          <w:sz w:val="24"/>
          <w:highlight w:val="white"/>
        </w:rPr>
        <w:t xml:space="preserve"> Thus, this paper will show that, unless the United States undertakes drastic policy changes, the current trend of patentable subject matter will lead to the patentability of  the transgenic human. Specifically, just as the </w:t>
      </w:r>
      <w:proofErr w:type="spellStart"/>
      <w:r>
        <w:rPr>
          <w:rFonts w:ascii="Times New Roman" w:eastAsia="Times New Roman" w:hAnsi="Times New Roman" w:cs="Times New Roman"/>
          <w:sz w:val="24"/>
          <w:highlight w:val="white"/>
        </w:rPr>
        <w:t>the</w:t>
      </w:r>
      <w:proofErr w:type="spellEnd"/>
      <w:r>
        <w:rPr>
          <w:rFonts w:ascii="Times New Roman" w:eastAsia="Times New Roman" w:hAnsi="Times New Roman" w:cs="Times New Roman"/>
          <w:sz w:val="24"/>
          <w:highlight w:val="white"/>
        </w:rPr>
        <w:t xml:space="preserve"> Court in </w:t>
      </w:r>
      <w:proofErr w:type="spellStart"/>
      <w:r>
        <w:rPr>
          <w:rFonts w:ascii="Times New Roman" w:eastAsia="Times New Roman" w:hAnsi="Times New Roman" w:cs="Times New Roman"/>
          <w:i/>
          <w:sz w:val="24"/>
          <w:highlight w:val="white"/>
        </w:rPr>
        <w:t>Chakrabarty</w:t>
      </w:r>
      <w:proofErr w:type="spellEnd"/>
      <w:r>
        <w:rPr>
          <w:rFonts w:ascii="Times New Roman" w:eastAsia="Times New Roman" w:hAnsi="Times New Roman" w:cs="Times New Roman"/>
          <w:sz w:val="24"/>
          <w:highlight w:val="white"/>
        </w:rPr>
        <w:t xml:space="preserve"> interpr</w:t>
      </w:r>
      <w:r>
        <w:rPr>
          <w:rFonts w:ascii="Times New Roman" w:eastAsia="Times New Roman" w:hAnsi="Times New Roman" w:cs="Times New Roman"/>
          <w:sz w:val="24"/>
          <w:highlight w:val="white"/>
        </w:rPr>
        <w:t>eted 35 U.S.C. §101 broadly to include non-naturally occurring multicellular organisms</w:t>
      </w:r>
      <w:r>
        <w:rPr>
          <w:rFonts w:ascii="Times New Roman" w:eastAsia="Times New Roman" w:hAnsi="Times New Roman" w:cs="Times New Roman"/>
          <w:sz w:val="24"/>
          <w:highlight w:val="white"/>
          <w:vertAlign w:val="superscript"/>
        </w:rPr>
        <w:footnoteReference w:id="5"/>
      </w:r>
      <w:r>
        <w:rPr>
          <w:rFonts w:ascii="Times New Roman" w:eastAsia="Times New Roman" w:hAnsi="Times New Roman" w:cs="Times New Roman"/>
          <w:sz w:val="24"/>
          <w:highlight w:val="white"/>
        </w:rPr>
        <w:t>, the language proscribing the patentability of a human organism is particularly vulnerable to a narrow interpretation that excludes the transgenic human organism. Addit</w:t>
      </w:r>
      <w:r>
        <w:rPr>
          <w:rFonts w:ascii="Times New Roman" w:eastAsia="Times New Roman" w:hAnsi="Times New Roman" w:cs="Times New Roman"/>
          <w:sz w:val="24"/>
          <w:highlight w:val="white"/>
        </w:rPr>
        <w:t xml:space="preserve">ionally, this paper will discuss the possible ramifications of a patent grant for a claim consisting of a transgenic human organism. </w:t>
      </w:r>
    </w:p>
    <w:p w:rsidR="00CC1390" w:rsidRDefault="00CC1390">
      <w:pPr>
        <w:pStyle w:val="normal0"/>
        <w:ind w:firstLine="720"/>
      </w:pPr>
    </w:p>
    <w:p w:rsidR="00CC1390" w:rsidRDefault="00F67470">
      <w:pPr>
        <w:pStyle w:val="normal0"/>
        <w:numPr>
          <w:ilvl w:val="0"/>
          <w:numId w:val="6"/>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lastRenderedPageBreak/>
        <w:t>Current United States Laws and Jurisprudence Affirm The Natural Products Exception To Patentability But Provide An Except</w:t>
      </w:r>
      <w:r>
        <w:rPr>
          <w:rFonts w:ascii="Times New Roman" w:eastAsia="Times New Roman" w:hAnsi="Times New Roman" w:cs="Times New Roman"/>
          <w:b/>
          <w:sz w:val="24"/>
        </w:rPr>
        <w:t>ion When The Product Is Markedly Different From Naturally Occurring Products.</w:t>
      </w:r>
    </w:p>
    <w:p w:rsidR="00CC1390" w:rsidRDefault="00CC1390">
      <w:pPr>
        <w:pStyle w:val="normal0"/>
      </w:pPr>
    </w:p>
    <w:p w:rsidR="00CC1390" w:rsidRDefault="00F67470">
      <w:pPr>
        <w:pStyle w:val="normal0"/>
        <w:numPr>
          <w:ilvl w:val="0"/>
          <w:numId w:val="2"/>
        </w:numPr>
        <w:ind w:hanging="359"/>
        <w:contextualSpacing/>
        <w:rPr>
          <w:rFonts w:ascii="Times New Roman" w:eastAsia="Times New Roman" w:hAnsi="Times New Roman" w:cs="Times New Roman"/>
          <w:b/>
          <w:sz w:val="24"/>
        </w:rPr>
      </w:pPr>
      <w:r>
        <w:rPr>
          <w:rFonts w:ascii="Times New Roman" w:eastAsia="Times New Roman" w:hAnsi="Times New Roman" w:cs="Times New Roman"/>
          <w:b/>
          <w:i/>
          <w:sz w:val="24"/>
        </w:rPr>
        <w:t>Title 35 Of The United States Code §101 Provides A Specific Rebuttable Of The Patentability Of Laws Of Nature, Naturally Occurring Phenomena and Abstract Ideas.</w:t>
      </w:r>
    </w:p>
    <w:p w:rsidR="00CC1390" w:rsidRDefault="00CC1390">
      <w:pPr>
        <w:pStyle w:val="normal0"/>
      </w:pPr>
    </w:p>
    <w:p w:rsidR="00CC1390" w:rsidRDefault="00F67470">
      <w:pPr>
        <w:pStyle w:val="normal0"/>
        <w:ind w:firstLine="720"/>
      </w:pPr>
      <w:r>
        <w:rPr>
          <w:rFonts w:ascii="Times New Roman" w:eastAsia="Times New Roman" w:hAnsi="Times New Roman" w:cs="Times New Roman"/>
          <w:sz w:val="24"/>
        </w:rPr>
        <w:t>As stated above</w:t>
      </w:r>
      <w:r>
        <w:rPr>
          <w:rFonts w:ascii="Times New Roman" w:eastAsia="Times New Roman" w:hAnsi="Times New Roman" w:cs="Times New Roman"/>
          <w:sz w:val="24"/>
        </w:rPr>
        <w:t>, 35 U.S.C. §101 cites four categories of patentable subject matter: process, design, manufacture, or composition of matter.</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 xml:space="preserve"> Additionally, the Court has always held that “laws of nature, natural phenomena, and abstract ideas” are not patentable subject ma</w:t>
      </w:r>
      <w:r>
        <w:rPr>
          <w:rFonts w:ascii="Times New Roman" w:eastAsia="Times New Roman" w:hAnsi="Times New Roman" w:cs="Times New Roman"/>
          <w:sz w:val="24"/>
        </w:rPr>
        <w:t>tter under § 101 of the Patent Act.</w:t>
      </w:r>
      <w:r>
        <w:rPr>
          <w:rFonts w:ascii="Times New Roman" w:eastAsia="Times New Roman" w:hAnsi="Times New Roman" w:cs="Times New Roman"/>
          <w:sz w:val="24"/>
          <w:vertAlign w:val="superscript"/>
        </w:rPr>
        <w:footnoteReference w:id="7"/>
      </w:r>
      <w:r>
        <w:rPr>
          <w:rFonts w:ascii="Times New Roman" w:eastAsia="Times New Roman" w:hAnsi="Times New Roman" w:cs="Times New Roman"/>
          <w:sz w:val="24"/>
        </w:rPr>
        <w:t xml:space="preserve"> The subject matter within these categories remains free because, as the Court has stated, these categories encompass </w:t>
      </w:r>
      <w:r>
        <w:rPr>
          <w:rFonts w:ascii="Times New Roman" w:eastAsia="Times New Roman" w:hAnsi="Times New Roman" w:cs="Times New Roman"/>
          <w:color w:val="202020"/>
          <w:sz w:val="24"/>
          <w:highlight w:val="white"/>
        </w:rPr>
        <w:t>“part of the storehouse of knowledge of all men…free to all men and reserved exclusively to none.”</w:t>
      </w:r>
      <w:r>
        <w:rPr>
          <w:rFonts w:ascii="Times New Roman" w:eastAsia="Times New Roman" w:hAnsi="Times New Roman" w:cs="Times New Roman"/>
          <w:color w:val="202020"/>
          <w:sz w:val="24"/>
          <w:highlight w:val="white"/>
          <w:vertAlign w:val="superscript"/>
        </w:rPr>
        <w:footnoteReference w:id="8"/>
      </w:r>
      <w:r>
        <w:rPr>
          <w:rFonts w:ascii="Times New Roman" w:eastAsia="Times New Roman" w:hAnsi="Times New Roman" w:cs="Times New Roman"/>
          <w:color w:val="202020"/>
          <w:sz w:val="24"/>
          <w:highlight w:val="white"/>
        </w:rPr>
        <w:t xml:space="preserve"> Additionally, the USPTO has unequivocally stated that </w:t>
      </w:r>
      <w:r>
        <w:rPr>
          <w:rFonts w:ascii="Times New Roman" w:eastAsia="Times New Roman" w:hAnsi="Times New Roman" w:cs="Times New Roman"/>
          <w:sz w:val="24"/>
        </w:rPr>
        <w:t>“patenting natural products would, therefore, be in contravention of over 150 years of Supreme Court precedent and USPTO’s interpretation of Myriad, and would be a violation of fundamental common law p</w:t>
      </w:r>
      <w:r>
        <w:rPr>
          <w:rFonts w:ascii="Times New Roman" w:eastAsia="Times New Roman" w:hAnsi="Times New Roman" w:cs="Times New Roman"/>
          <w:sz w:val="24"/>
        </w:rPr>
        <w:t xml:space="preserve">rinciples, the public domain, and the public trust doctrine.” </w:t>
      </w:r>
      <w:r>
        <w:rPr>
          <w:rFonts w:ascii="Times New Roman" w:eastAsia="Times New Roman" w:hAnsi="Times New Roman" w:cs="Times New Roman"/>
          <w:sz w:val="24"/>
          <w:vertAlign w:val="superscript"/>
        </w:rPr>
        <w:footnoteReference w:id="9"/>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rPr>
        <w:t>The public storehouse of knowledge and the public domain are exemplified by the idea of the commons, a notion from Anglo-Saxon tradition relating to the granting of a public right to use cert</w:t>
      </w:r>
      <w:r>
        <w:rPr>
          <w:rFonts w:ascii="Times New Roman" w:eastAsia="Times New Roman" w:hAnsi="Times New Roman" w:cs="Times New Roman"/>
          <w:sz w:val="24"/>
        </w:rPr>
        <w:t>ain parcels of land.</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The idea of the public commons was criticized heavily in an effort to promote the agricultural revolution and private land ownership. For example, the theory of the tragedy of the commons warns that with each member of the commons act</w:t>
      </w:r>
      <w:r>
        <w:rPr>
          <w:rFonts w:ascii="Times New Roman" w:eastAsia="Times New Roman" w:hAnsi="Times New Roman" w:cs="Times New Roman"/>
          <w:sz w:val="24"/>
        </w:rPr>
        <w:t>ing rationally in their own interests, the commons will eventually be depleted.</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xml:space="preserve"> </w:t>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rPr>
        <w:t xml:space="preserve">Intellectual property, however, differs from real property in the sense that any area of exclusivity is artificial, not natural. Thus, the subject matter incorporated under </w:t>
      </w:r>
      <w:r>
        <w:rPr>
          <w:rFonts w:ascii="Times New Roman" w:eastAsia="Times New Roman" w:hAnsi="Times New Roman" w:cs="Times New Roman"/>
          <w:sz w:val="24"/>
        </w:rPr>
        <w:t>the laws of nature, natural phenomena and abstract ideas must necessarily remain open to all because they are intrinsic parts of the universe and nothing to do with human invention.</w:t>
      </w:r>
      <w:r>
        <w:rPr>
          <w:rFonts w:ascii="Times New Roman" w:eastAsia="Times New Roman" w:hAnsi="Times New Roman" w:cs="Times New Roman"/>
          <w:sz w:val="24"/>
          <w:vertAlign w:val="superscript"/>
        </w:rPr>
        <w:footnoteReference w:id="12"/>
      </w:r>
      <w:r>
        <w:rPr>
          <w:rFonts w:ascii="Times New Roman" w:eastAsia="Times New Roman" w:hAnsi="Times New Roman" w:cs="Times New Roman"/>
          <w:sz w:val="24"/>
        </w:rPr>
        <w:t xml:space="preserve"> To grant ownership over one of these areas and thereby exclude others fro</w:t>
      </w:r>
      <w:r>
        <w:rPr>
          <w:rFonts w:ascii="Times New Roman" w:eastAsia="Times New Roman" w:hAnsi="Times New Roman" w:cs="Times New Roman"/>
          <w:sz w:val="24"/>
        </w:rPr>
        <w:t>m use would be unethical.</w:t>
      </w:r>
      <w:r>
        <w:rPr>
          <w:rFonts w:ascii="Times New Roman" w:eastAsia="Times New Roman" w:hAnsi="Times New Roman" w:cs="Times New Roman"/>
          <w:sz w:val="24"/>
          <w:vertAlign w:val="superscript"/>
        </w:rPr>
        <w:footnoteReference w:id="13"/>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rPr>
        <w:t xml:space="preserve">In </w:t>
      </w:r>
      <w:r>
        <w:rPr>
          <w:rFonts w:ascii="Times New Roman" w:eastAsia="Times New Roman" w:hAnsi="Times New Roman" w:cs="Times New Roman"/>
          <w:i/>
          <w:sz w:val="24"/>
        </w:rPr>
        <w:t>Association for Molecular Pathology v. Myriad Genetics, Inc.</w:t>
      </w:r>
      <w:r>
        <w:rPr>
          <w:rFonts w:ascii="Times New Roman" w:eastAsia="Times New Roman" w:hAnsi="Times New Roman" w:cs="Times New Roman"/>
          <w:sz w:val="24"/>
        </w:rPr>
        <w:t>, the Supreme Court emphasized and elaborated on the separation of naturally occurring phenomena from patentability. In that case, Myriad Genetics, Inc. obtained patents for the sequences of the BRCA1 and BRCA2 genes after discovering their location. Mutat</w:t>
      </w:r>
      <w:r>
        <w:rPr>
          <w:rFonts w:ascii="Times New Roman" w:eastAsia="Times New Roman" w:hAnsi="Times New Roman" w:cs="Times New Roman"/>
          <w:sz w:val="24"/>
        </w:rPr>
        <w:t>ions of these genes dramatically increase the risk of breast and ovarian cancer.</w:t>
      </w:r>
      <w:r>
        <w:rPr>
          <w:rFonts w:ascii="Times New Roman" w:eastAsia="Times New Roman" w:hAnsi="Times New Roman" w:cs="Times New Roman"/>
          <w:sz w:val="24"/>
          <w:vertAlign w:val="superscript"/>
        </w:rPr>
        <w:footnoteReference w:id="14"/>
      </w:r>
      <w:r>
        <w:rPr>
          <w:rFonts w:ascii="Times New Roman" w:eastAsia="Times New Roman" w:hAnsi="Times New Roman" w:cs="Times New Roman"/>
          <w:sz w:val="24"/>
        </w:rPr>
        <w:t xml:space="preserve"> The Association for Molecular Pathology argued that the patent claims were invalid because they covered products of nature. </w:t>
      </w:r>
    </w:p>
    <w:p w:rsidR="00CC1390" w:rsidRDefault="00F67470">
      <w:pPr>
        <w:pStyle w:val="normal0"/>
      </w:pPr>
      <w:r>
        <w:rPr>
          <w:rFonts w:ascii="Times New Roman" w:eastAsia="Times New Roman" w:hAnsi="Times New Roman" w:cs="Times New Roman"/>
          <w:sz w:val="24"/>
        </w:rPr>
        <w:t>Ultimately, the Court held that the naturally occ</w:t>
      </w:r>
      <w:r>
        <w:rPr>
          <w:rFonts w:ascii="Times New Roman" w:eastAsia="Times New Roman" w:hAnsi="Times New Roman" w:cs="Times New Roman"/>
          <w:sz w:val="24"/>
        </w:rPr>
        <w:t xml:space="preserve">urring DNA segments comprising the BRCA1 and BRCA2 genes were not patent eligible merely because Myriad isolated them, but </w:t>
      </w:r>
      <w:proofErr w:type="spellStart"/>
      <w:r>
        <w:rPr>
          <w:rFonts w:ascii="Times New Roman" w:eastAsia="Times New Roman" w:hAnsi="Times New Roman" w:cs="Times New Roman"/>
          <w:sz w:val="24"/>
        </w:rPr>
        <w:t>cDNA</w:t>
      </w:r>
      <w:proofErr w:type="spellEnd"/>
      <w:r>
        <w:rPr>
          <w:rFonts w:ascii="Times New Roman" w:eastAsia="Times New Roman" w:hAnsi="Times New Roman" w:cs="Times New Roman"/>
          <w:sz w:val="24"/>
        </w:rPr>
        <w:t xml:space="preserve"> (synthetically created exons-only DNA known as complementary DNA) was patentable because it is not naturally occurring.</w:t>
      </w:r>
      <w:r>
        <w:rPr>
          <w:rFonts w:ascii="Times New Roman" w:eastAsia="Times New Roman" w:hAnsi="Times New Roman" w:cs="Times New Roman"/>
          <w:sz w:val="24"/>
          <w:vertAlign w:val="superscript"/>
        </w:rPr>
        <w:footnoteReference w:id="15"/>
      </w:r>
      <w:r>
        <w:rPr>
          <w:rFonts w:ascii="Times New Roman" w:eastAsia="Times New Roman" w:hAnsi="Times New Roman" w:cs="Times New Roman"/>
          <w:sz w:val="24"/>
        </w:rPr>
        <w:t xml:space="preserve"> </w:t>
      </w:r>
    </w:p>
    <w:p w:rsidR="00CC1390" w:rsidRDefault="00CC1390">
      <w:pPr>
        <w:pStyle w:val="normal0"/>
      </w:pPr>
    </w:p>
    <w:p w:rsidR="00CC1390" w:rsidRDefault="00F67470">
      <w:pPr>
        <w:pStyle w:val="normal0"/>
      </w:pPr>
      <w:r>
        <w:rPr>
          <w:rFonts w:ascii="Times New Roman" w:eastAsia="Times New Roman" w:hAnsi="Times New Roman" w:cs="Times New Roman"/>
          <w:sz w:val="24"/>
        </w:rPr>
        <w:tab/>
        <w:t>In h</w:t>
      </w:r>
      <w:r>
        <w:rPr>
          <w:rFonts w:ascii="Times New Roman" w:eastAsia="Times New Roman" w:hAnsi="Times New Roman" w:cs="Times New Roman"/>
          <w:sz w:val="24"/>
        </w:rPr>
        <w:t>olding so, the Court emphasized the need to maintain the separation of laws of nature, natural phenomena, and abstract ideas from patentability as they comprise the “basic tools of scientific and technological work,” and entitling individuals to a monopoly</w:t>
      </w:r>
      <w:r>
        <w:rPr>
          <w:rFonts w:ascii="Times New Roman" w:eastAsia="Times New Roman" w:hAnsi="Times New Roman" w:cs="Times New Roman"/>
          <w:sz w:val="24"/>
        </w:rPr>
        <w:t xml:space="preserve"> over them would “inhibit future innovation premised upon them.”</w:t>
      </w:r>
      <w:r>
        <w:rPr>
          <w:rFonts w:ascii="Times New Roman" w:eastAsia="Times New Roman" w:hAnsi="Times New Roman" w:cs="Times New Roman"/>
          <w:sz w:val="24"/>
          <w:vertAlign w:val="superscript"/>
        </w:rPr>
        <w:footnoteReference w:id="16"/>
      </w:r>
      <w:r>
        <w:rPr>
          <w:rFonts w:ascii="Times New Roman" w:eastAsia="Times New Roman" w:hAnsi="Times New Roman" w:cs="Times New Roman"/>
          <w:sz w:val="24"/>
        </w:rPr>
        <w:t xml:space="preserve"> The court went on, however, to note that the rule against patents on naturally occurring things has its own limits because, at some level, all inventions necessarily “embody, use, reflect, r</w:t>
      </w:r>
      <w:r>
        <w:rPr>
          <w:rFonts w:ascii="Times New Roman" w:eastAsia="Times New Roman" w:hAnsi="Times New Roman" w:cs="Times New Roman"/>
          <w:sz w:val="24"/>
        </w:rPr>
        <w:t>est upon, or apply laws of nature, natural phenomena, or abstract ideas,” and “too broad an interpretation of this exclusionary principle could eviscerate patent law.”</w:t>
      </w:r>
      <w:r>
        <w:rPr>
          <w:rFonts w:ascii="Times New Roman" w:eastAsia="Times New Roman" w:hAnsi="Times New Roman" w:cs="Times New Roman"/>
          <w:sz w:val="24"/>
          <w:vertAlign w:val="superscript"/>
        </w:rPr>
        <w:footnoteReference w:id="17"/>
      </w:r>
    </w:p>
    <w:p w:rsidR="00CC1390" w:rsidRDefault="00F67470">
      <w:pPr>
        <w:pStyle w:val="normal0"/>
      </w:pPr>
      <w:r>
        <w:rPr>
          <w:rFonts w:ascii="Times New Roman" w:eastAsia="Times New Roman" w:hAnsi="Times New Roman" w:cs="Times New Roman"/>
          <w:color w:val="0000FF"/>
          <w:sz w:val="24"/>
        </w:rPr>
        <w:tab/>
      </w:r>
    </w:p>
    <w:p w:rsidR="00CC1390" w:rsidRDefault="00F67470">
      <w:pPr>
        <w:pStyle w:val="normal0"/>
        <w:numPr>
          <w:ilvl w:val="0"/>
          <w:numId w:val="5"/>
        </w:numPr>
        <w:ind w:hanging="359"/>
        <w:contextualSpacing/>
        <w:rPr>
          <w:rFonts w:ascii="Times New Roman" w:eastAsia="Times New Roman" w:hAnsi="Times New Roman" w:cs="Times New Roman"/>
          <w:b/>
          <w:sz w:val="24"/>
        </w:rPr>
      </w:pPr>
      <w:r>
        <w:rPr>
          <w:rFonts w:ascii="Times New Roman" w:eastAsia="Times New Roman" w:hAnsi="Times New Roman" w:cs="Times New Roman"/>
          <w:b/>
          <w:i/>
          <w:sz w:val="24"/>
        </w:rPr>
        <w:t>The United States Supreme Court Has Held That While Natural Products Are Excluded Fro</w:t>
      </w:r>
      <w:r>
        <w:rPr>
          <w:rFonts w:ascii="Times New Roman" w:eastAsia="Times New Roman" w:hAnsi="Times New Roman" w:cs="Times New Roman"/>
          <w:b/>
          <w:i/>
          <w:sz w:val="24"/>
        </w:rPr>
        <w:t>m Patent Protection, Non-Naturally Occurring Organisms May Be Entitled To Protection.</w:t>
      </w:r>
    </w:p>
    <w:p w:rsidR="00CC1390" w:rsidRDefault="00CC1390">
      <w:pPr>
        <w:pStyle w:val="normal0"/>
      </w:pPr>
    </w:p>
    <w:p w:rsidR="00CC1390" w:rsidRDefault="00F67470">
      <w:pPr>
        <w:pStyle w:val="normal0"/>
      </w:pPr>
      <w:r>
        <w:rPr>
          <w:rFonts w:ascii="Times New Roman" w:eastAsia="Times New Roman" w:hAnsi="Times New Roman" w:cs="Times New Roman"/>
          <w:color w:val="0000FF"/>
          <w:sz w:val="24"/>
        </w:rPr>
        <w:tab/>
      </w:r>
      <w:r>
        <w:rPr>
          <w:rFonts w:ascii="Times New Roman" w:eastAsia="Times New Roman" w:hAnsi="Times New Roman" w:cs="Times New Roman"/>
          <w:sz w:val="24"/>
        </w:rPr>
        <w:t xml:space="preserve">In deciding </w:t>
      </w:r>
      <w:r>
        <w:rPr>
          <w:rFonts w:ascii="Times New Roman" w:eastAsia="Times New Roman" w:hAnsi="Times New Roman" w:cs="Times New Roman"/>
          <w:i/>
          <w:sz w:val="24"/>
        </w:rPr>
        <w:t>Myriad</w:t>
      </w:r>
      <w:r>
        <w:rPr>
          <w:rFonts w:ascii="Times New Roman" w:eastAsia="Times New Roman" w:hAnsi="Times New Roman" w:cs="Times New Roman"/>
          <w:sz w:val="24"/>
        </w:rPr>
        <w:t xml:space="preserve">, the court discussed its previous decision in </w:t>
      </w:r>
      <w:r>
        <w:rPr>
          <w:rFonts w:ascii="Times New Roman" w:eastAsia="Times New Roman" w:hAnsi="Times New Roman" w:cs="Times New Roman"/>
          <w:i/>
          <w:sz w:val="24"/>
        </w:rPr>
        <w:t xml:space="preserve">Diamond v. </w:t>
      </w:r>
      <w:proofErr w:type="spellStart"/>
      <w:r>
        <w:rPr>
          <w:rFonts w:ascii="Times New Roman" w:eastAsia="Times New Roman" w:hAnsi="Times New Roman" w:cs="Times New Roman"/>
          <w:i/>
          <w:sz w:val="24"/>
        </w:rPr>
        <w:t>Chakrabarty</w:t>
      </w:r>
      <w:proofErr w:type="spellEnd"/>
      <w:r>
        <w:rPr>
          <w:rFonts w:ascii="Times New Roman" w:eastAsia="Times New Roman" w:hAnsi="Times New Roman" w:cs="Times New Roman"/>
          <w:sz w:val="24"/>
        </w:rPr>
        <w:t xml:space="preserve">. In that case a scientist, </w:t>
      </w:r>
      <w:proofErr w:type="spellStart"/>
      <w:r>
        <w:rPr>
          <w:rFonts w:ascii="Times New Roman" w:eastAsia="Times New Roman" w:hAnsi="Times New Roman" w:cs="Times New Roman"/>
          <w:sz w:val="24"/>
        </w:rPr>
        <w:t>Chakrabarty</w:t>
      </w:r>
      <w:proofErr w:type="spellEnd"/>
      <w:r>
        <w:rPr>
          <w:rFonts w:ascii="Times New Roman" w:eastAsia="Times New Roman" w:hAnsi="Times New Roman" w:cs="Times New Roman"/>
          <w:sz w:val="24"/>
        </w:rPr>
        <w:t>, added four plasmids to a bacterium enabl</w:t>
      </w:r>
      <w:r>
        <w:rPr>
          <w:rFonts w:ascii="Times New Roman" w:eastAsia="Times New Roman" w:hAnsi="Times New Roman" w:cs="Times New Roman"/>
          <w:sz w:val="24"/>
        </w:rPr>
        <w:t>ing it to break down components of crude oil. There the Court held that the modified bacterium was patentable, explaining that the claim encompassed a “</w:t>
      </w:r>
      <w:proofErr w:type="spellStart"/>
      <w:r>
        <w:rPr>
          <w:rFonts w:ascii="Times New Roman" w:eastAsia="Times New Roman" w:hAnsi="Times New Roman" w:cs="Times New Roman"/>
          <w:sz w:val="24"/>
        </w:rPr>
        <w:t>nonnaturally</w:t>
      </w:r>
      <w:proofErr w:type="spellEnd"/>
      <w:r>
        <w:rPr>
          <w:rFonts w:ascii="Times New Roman" w:eastAsia="Times New Roman" w:hAnsi="Times New Roman" w:cs="Times New Roman"/>
          <w:sz w:val="24"/>
        </w:rPr>
        <w:t xml:space="preserve"> occurring manufacture or composition of matter - a product of human ingenuity ‘having a dis</w:t>
      </w:r>
      <w:r>
        <w:rPr>
          <w:rFonts w:ascii="Times New Roman" w:eastAsia="Times New Roman" w:hAnsi="Times New Roman" w:cs="Times New Roman"/>
          <w:sz w:val="24"/>
        </w:rPr>
        <w:t>tinctive name, character [and] use.’”</w:t>
      </w:r>
      <w:r>
        <w:rPr>
          <w:rFonts w:ascii="Times New Roman" w:eastAsia="Times New Roman" w:hAnsi="Times New Roman" w:cs="Times New Roman"/>
          <w:sz w:val="24"/>
          <w:vertAlign w:val="superscript"/>
        </w:rPr>
        <w:footnoteReference w:id="18"/>
      </w:r>
      <w:r>
        <w:rPr>
          <w:rFonts w:ascii="Times New Roman" w:eastAsia="Times New Roman" w:hAnsi="Times New Roman" w:cs="Times New Roman"/>
          <w:sz w:val="24"/>
        </w:rPr>
        <w:t xml:space="preserve"> The Court supported its holding by stating that the bacterium had “markedly different characteristics from any found in nature.”.</w:t>
      </w:r>
      <w:r>
        <w:rPr>
          <w:rFonts w:ascii="Times New Roman" w:eastAsia="Times New Roman" w:hAnsi="Times New Roman" w:cs="Times New Roman"/>
          <w:sz w:val="24"/>
          <w:vertAlign w:val="superscript"/>
        </w:rPr>
        <w:footnoteReference w:id="19"/>
      </w:r>
      <w:r>
        <w:rPr>
          <w:rFonts w:ascii="Times New Roman" w:eastAsia="Times New Roman" w:hAnsi="Times New Roman" w:cs="Times New Roman"/>
          <w:sz w:val="24"/>
        </w:rPr>
        <w:t xml:space="preserve"> Additionally, the Court reasoned that Congress’ choice of the terms “manufacture” and </w:t>
      </w:r>
      <w:r>
        <w:rPr>
          <w:rFonts w:ascii="Times New Roman" w:eastAsia="Times New Roman" w:hAnsi="Times New Roman" w:cs="Times New Roman"/>
          <w:sz w:val="24"/>
        </w:rPr>
        <w:t>“composition of matter” signaled that the patent laws be given a broad interpretation.</w:t>
      </w:r>
      <w:r>
        <w:rPr>
          <w:rFonts w:ascii="Times New Roman" w:eastAsia="Times New Roman" w:hAnsi="Times New Roman" w:cs="Times New Roman"/>
          <w:sz w:val="24"/>
          <w:vertAlign w:val="superscript"/>
        </w:rPr>
        <w:footnoteReference w:id="20"/>
      </w:r>
      <w:r>
        <w:rPr>
          <w:rFonts w:ascii="Times New Roman" w:eastAsia="Times New Roman" w:hAnsi="Times New Roman" w:cs="Times New Roman"/>
          <w:sz w:val="24"/>
        </w:rPr>
        <w:t xml:space="preserve"> Manufacture, the Court held, was a term that broadly encompassed “the </w:t>
      </w:r>
      <w:r>
        <w:rPr>
          <w:rFonts w:ascii="Times New Roman" w:eastAsia="Times New Roman" w:hAnsi="Times New Roman" w:cs="Times New Roman"/>
          <w:sz w:val="24"/>
        </w:rPr>
        <w:lastRenderedPageBreak/>
        <w:t>production of articles for use from raw or prepared materials by giving to these materials new for</w:t>
      </w:r>
      <w:r>
        <w:rPr>
          <w:rFonts w:ascii="Times New Roman" w:eastAsia="Times New Roman" w:hAnsi="Times New Roman" w:cs="Times New Roman"/>
          <w:sz w:val="24"/>
        </w:rPr>
        <w:t>ms, qualities, properties, or combinations, whether by hand-labor or machinery.” Along the same lines, composition of matter was broadly held to encompass “all compositions of two or more substances and … all composite articles, whether they be the results</w:t>
      </w:r>
      <w:r>
        <w:rPr>
          <w:rFonts w:ascii="Times New Roman" w:eastAsia="Times New Roman" w:hAnsi="Times New Roman" w:cs="Times New Roman"/>
          <w:sz w:val="24"/>
        </w:rPr>
        <w:t xml:space="preserve"> of chemical union, or of mechanical mixture, or whether they be gases, fluids, powders or solids.”</w:t>
      </w:r>
      <w:r>
        <w:rPr>
          <w:rFonts w:ascii="Times New Roman" w:eastAsia="Times New Roman" w:hAnsi="Times New Roman" w:cs="Times New Roman"/>
          <w:sz w:val="24"/>
          <w:vertAlign w:val="superscript"/>
        </w:rPr>
        <w:footnoteReference w:id="21"/>
      </w:r>
      <w:r>
        <w:rPr>
          <w:rFonts w:ascii="Times New Roman" w:eastAsia="Times New Roman" w:hAnsi="Times New Roman" w:cs="Times New Roman"/>
          <w:sz w:val="24"/>
        </w:rPr>
        <w:t xml:space="preserve"> </w:t>
      </w:r>
    </w:p>
    <w:p w:rsidR="00CC1390" w:rsidRDefault="00CC1390">
      <w:pPr>
        <w:pStyle w:val="normal0"/>
      </w:pPr>
    </w:p>
    <w:p w:rsidR="00CC1390" w:rsidRDefault="00F67470">
      <w:pPr>
        <w:pStyle w:val="normal0"/>
        <w:ind w:firstLine="720"/>
      </w:pPr>
      <w:r>
        <w:rPr>
          <w:rFonts w:ascii="Times New Roman" w:eastAsia="Times New Roman" w:hAnsi="Times New Roman" w:cs="Times New Roman"/>
          <w:sz w:val="24"/>
        </w:rPr>
        <w:t>Petitioner in this case argued that the 1930 Plant Patent Act and the 1970 Plant Variety Protection Act, which excluded bacteria from their protection, signaled Congress’ intent to leave all other living organisms out of the scope of patentability. The Cou</w:t>
      </w:r>
      <w:r>
        <w:rPr>
          <w:rFonts w:ascii="Times New Roman" w:eastAsia="Times New Roman" w:hAnsi="Times New Roman" w:cs="Times New Roman"/>
          <w:sz w:val="24"/>
        </w:rPr>
        <w:t xml:space="preserve">rt, however, dismissed this argument on the basis that nothing in the legislative history gave any reason for excluding bacteria from the scope of patentability. </w:t>
      </w:r>
      <w:r>
        <w:rPr>
          <w:rFonts w:ascii="Times New Roman" w:eastAsia="Times New Roman" w:hAnsi="Times New Roman" w:cs="Times New Roman"/>
          <w:sz w:val="24"/>
          <w:vertAlign w:val="superscript"/>
        </w:rPr>
        <w:footnoteReference w:id="22"/>
      </w:r>
      <w:r>
        <w:rPr>
          <w:rFonts w:ascii="Times New Roman" w:eastAsia="Times New Roman" w:hAnsi="Times New Roman" w:cs="Times New Roman"/>
          <w:sz w:val="24"/>
        </w:rPr>
        <w:t xml:space="preserve"> Additionally, the petitioner attempted to argue that because genetic engineering technology </w:t>
      </w:r>
      <w:r>
        <w:rPr>
          <w:rFonts w:ascii="Times New Roman" w:eastAsia="Times New Roman" w:hAnsi="Times New Roman" w:cs="Times New Roman"/>
          <w:sz w:val="24"/>
        </w:rPr>
        <w:t>was so new, any consequences were unforeseen and thus, should be left to congress to decide. Again, the Court found this argument unconvincing because congress had technically spoken as to the scope of patentable subject matter through the passage of 35 U.</w:t>
      </w:r>
      <w:r>
        <w:rPr>
          <w:rFonts w:ascii="Times New Roman" w:eastAsia="Times New Roman" w:hAnsi="Times New Roman" w:cs="Times New Roman"/>
          <w:sz w:val="24"/>
        </w:rPr>
        <w:t>S.C. §101 and it was now appropriate for the judiciary to weigh in.</w:t>
      </w:r>
      <w:r>
        <w:rPr>
          <w:rFonts w:ascii="Times New Roman" w:eastAsia="Times New Roman" w:hAnsi="Times New Roman" w:cs="Times New Roman"/>
          <w:sz w:val="24"/>
          <w:vertAlign w:val="superscript"/>
        </w:rPr>
        <w:footnoteReference w:id="23"/>
      </w:r>
      <w:r>
        <w:rPr>
          <w:rFonts w:ascii="Times New Roman" w:eastAsia="Times New Roman" w:hAnsi="Times New Roman" w:cs="Times New Roman"/>
          <w:sz w:val="24"/>
        </w:rPr>
        <w:t xml:space="preserve"> Thus, this landmark case was the first instance of a living organism receiving patent protection in the United States and exemplifies the Court’s later emphasis in </w:t>
      </w:r>
      <w:r>
        <w:rPr>
          <w:rFonts w:ascii="Times New Roman" w:eastAsia="Times New Roman" w:hAnsi="Times New Roman" w:cs="Times New Roman"/>
          <w:i/>
          <w:sz w:val="24"/>
        </w:rPr>
        <w:t>Myriad</w:t>
      </w:r>
      <w:r>
        <w:rPr>
          <w:rFonts w:ascii="Times New Roman" w:eastAsia="Times New Roman" w:hAnsi="Times New Roman" w:cs="Times New Roman"/>
          <w:sz w:val="24"/>
        </w:rPr>
        <w:t>, that a living o</w:t>
      </w:r>
      <w:r>
        <w:rPr>
          <w:rFonts w:ascii="Times New Roman" w:eastAsia="Times New Roman" w:hAnsi="Times New Roman" w:cs="Times New Roman"/>
          <w:sz w:val="24"/>
        </w:rPr>
        <w:t xml:space="preserve">rganism is only eligible for patent protection so long as it falls within the umbrella of </w:t>
      </w:r>
      <w:r>
        <w:rPr>
          <w:rFonts w:ascii="Times New Roman" w:eastAsia="Times New Roman" w:hAnsi="Times New Roman" w:cs="Times New Roman"/>
          <w:sz w:val="24"/>
          <w:highlight w:val="white"/>
        </w:rPr>
        <w:t>non-naturally occurring non-human multicellular organisms, including animals.</w:t>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highlight w:val="white"/>
        </w:rPr>
        <w:t xml:space="preserve"> Following the Supreme Court’s reasoning in </w:t>
      </w:r>
      <w:proofErr w:type="spellStart"/>
      <w:r>
        <w:rPr>
          <w:rFonts w:ascii="Times New Roman" w:eastAsia="Times New Roman" w:hAnsi="Times New Roman" w:cs="Times New Roman"/>
          <w:i/>
          <w:sz w:val="24"/>
          <w:highlight w:val="white"/>
        </w:rPr>
        <w:t>Chakrabarty</w:t>
      </w:r>
      <w:proofErr w:type="spellEnd"/>
      <w:r>
        <w:rPr>
          <w:rFonts w:ascii="Times New Roman" w:eastAsia="Times New Roman" w:hAnsi="Times New Roman" w:cs="Times New Roman"/>
          <w:sz w:val="24"/>
          <w:highlight w:val="white"/>
        </w:rPr>
        <w:t>, the USPTO Board of Patent Appe</w:t>
      </w:r>
      <w:r>
        <w:rPr>
          <w:rFonts w:ascii="Times New Roman" w:eastAsia="Times New Roman" w:hAnsi="Times New Roman" w:cs="Times New Roman"/>
          <w:sz w:val="24"/>
          <w:highlight w:val="white"/>
        </w:rPr>
        <w:t xml:space="preserve">als determined that animals are patentable subject matter under 35 U.S.C. </w:t>
      </w:r>
      <w:r>
        <w:rPr>
          <w:rFonts w:ascii="Times New Roman" w:eastAsia="Times New Roman" w:hAnsi="Times New Roman" w:cs="Times New Roman"/>
          <w:sz w:val="24"/>
        </w:rPr>
        <w:t xml:space="preserve">§101 in </w:t>
      </w:r>
      <w:r>
        <w:rPr>
          <w:rFonts w:ascii="Times New Roman" w:eastAsia="Times New Roman" w:hAnsi="Times New Roman" w:cs="Times New Roman"/>
          <w:i/>
          <w:sz w:val="24"/>
        </w:rPr>
        <w:t>Ex parte Allen</w:t>
      </w:r>
      <w:r>
        <w:rPr>
          <w:rFonts w:ascii="Times New Roman" w:eastAsia="Times New Roman" w:hAnsi="Times New Roman" w:cs="Times New Roman"/>
          <w:sz w:val="24"/>
        </w:rPr>
        <w:t>.</w:t>
      </w:r>
      <w:r>
        <w:rPr>
          <w:rFonts w:ascii="Times New Roman" w:eastAsia="Times New Roman" w:hAnsi="Times New Roman" w:cs="Times New Roman"/>
          <w:sz w:val="24"/>
          <w:vertAlign w:val="superscript"/>
        </w:rPr>
        <w:footnoteReference w:id="24"/>
      </w:r>
      <w:r>
        <w:rPr>
          <w:rFonts w:ascii="Times New Roman" w:eastAsia="Times New Roman" w:hAnsi="Times New Roman" w:cs="Times New Roman"/>
          <w:sz w:val="24"/>
        </w:rPr>
        <w:t xml:space="preserve"> There, the Board decided that a </w:t>
      </w:r>
      <w:proofErr w:type="spellStart"/>
      <w:r>
        <w:rPr>
          <w:rFonts w:ascii="Times New Roman" w:eastAsia="Times New Roman" w:hAnsi="Times New Roman" w:cs="Times New Roman"/>
          <w:sz w:val="24"/>
        </w:rPr>
        <w:t>polyploid</w:t>
      </w:r>
      <w:proofErr w:type="spellEnd"/>
      <w:r>
        <w:rPr>
          <w:rFonts w:ascii="Times New Roman" w:eastAsia="Times New Roman" w:hAnsi="Times New Roman" w:cs="Times New Roman"/>
          <w:sz w:val="24"/>
        </w:rPr>
        <w:t xml:space="preserve"> oyster could have been patentable under §101 if all the necessary criteria had been satisfied. Following the decisi</w:t>
      </w:r>
      <w:r>
        <w:rPr>
          <w:rFonts w:ascii="Times New Roman" w:eastAsia="Times New Roman" w:hAnsi="Times New Roman" w:cs="Times New Roman"/>
          <w:sz w:val="24"/>
        </w:rPr>
        <w:t xml:space="preserve">on, the Commissioner issued the notice: Animals - Patentability, stating that the PTO would consider </w:t>
      </w:r>
      <w:proofErr w:type="spellStart"/>
      <w:r>
        <w:rPr>
          <w:rFonts w:ascii="Times New Roman" w:eastAsia="Times New Roman" w:hAnsi="Times New Roman" w:cs="Times New Roman"/>
          <w:sz w:val="24"/>
        </w:rPr>
        <w:t>nonnaturally</w:t>
      </w:r>
      <w:proofErr w:type="spellEnd"/>
      <w:r>
        <w:rPr>
          <w:rFonts w:ascii="Times New Roman" w:eastAsia="Times New Roman" w:hAnsi="Times New Roman" w:cs="Times New Roman"/>
          <w:sz w:val="24"/>
        </w:rPr>
        <w:t xml:space="preserve"> occurring, nonhuman, multicellular living organisms, including animals, to be patentable subject matter within the scope of 35 U.S.C. §101.</w:t>
      </w:r>
      <w:r>
        <w:rPr>
          <w:rFonts w:ascii="Times New Roman" w:eastAsia="Times New Roman" w:hAnsi="Times New Roman" w:cs="Times New Roman"/>
          <w:sz w:val="24"/>
          <w:vertAlign w:val="superscript"/>
        </w:rPr>
        <w:footnoteReference w:id="25"/>
      </w:r>
    </w:p>
    <w:p w:rsidR="00CC1390" w:rsidRDefault="00CC1390">
      <w:pPr>
        <w:pStyle w:val="normal0"/>
        <w:ind w:firstLine="720"/>
      </w:pPr>
    </w:p>
    <w:p w:rsidR="00CC1390" w:rsidRDefault="00CC1390">
      <w:pPr>
        <w:pStyle w:val="normal0"/>
      </w:pPr>
    </w:p>
    <w:p w:rsidR="00CC1390" w:rsidRDefault="00F67470">
      <w:pPr>
        <w:pStyle w:val="normal0"/>
        <w:numPr>
          <w:ilvl w:val="0"/>
          <w:numId w:val="4"/>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Transgenic Mammals Have Been Granted Patent Protection In The United States.</w:t>
      </w:r>
    </w:p>
    <w:p w:rsidR="00CC1390" w:rsidRDefault="00CC1390">
      <w:pPr>
        <w:pStyle w:val="normal0"/>
      </w:pPr>
    </w:p>
    <w:p w:rsidR="00CC1390" w:rsidRDefault="00F67470">
      <w:pPr>
        <w:pStyle w:val="normal0"/>
        <w:ind w:firstLine="720"/>
      </w:pPr>
      <w:r>
        <w:rPr>
          <w:rFonts w:ascii="Times New Roman" w:eastAsia="Times New Roman" w:hAnsi="Times New Roman" w:cs="Times New Roman"/>
          <w:sz w:val="24"/>
          <w:highlight w:val="white"/>
        </w:rPr>
        <w:t>Animals and organisms are deemed “transgenic” when they contain artificially introduced DNA into their genome from another species.</w:t>
      </w:r>
      <w:r>
        <w:rPr>
          <w:rFonts w:ascii="Times New Roman" w:eastAsia="Times New Roman" w:hAnsi="Times New Roman" w:cs="Times New Roman"/>
          <w:sz w:val="24"/>
          <w:highlight w:val="white"/>
          <w:vertAlign w:val="superscript"/>
        </w:rPr>
        <w:footnoteReference w:id="26"/>
      </w:r>
      <w:r>
        <w:rPr>
          <w:rFonts w:ascii="Times New Roman" w:eastAsia="Times New Roman" w:hAnsi="Times New Roman" w:cs="Times New Roman"/>
          <w:sz w:val="24"/>
          <w:highlight w:val="white"/>
        </w:rPr>
        <w:t xml:space="preserve"> They have generally been developed for purpo</w:t>
      </w:r>
      <w:r>
        <w:rPr>
          <w:rFonts w:ascii="Times New Roman" w:eastAsia="Times New Roman" w:hAnsi="Times New Roman" w:cs="Times New Roman"/>
          <w:sz w:val="24"/>
          <w:highlight w:val="white"/>
        </w:rPr>
        <w:t xml:space="preserve">ses of medical research, enhanced food production (GM crops), or in order to produce </w:t>
      </w:r>
      <w:r>
        <w:rPr>
          <w:rFonts w:ascii="Times New Roman" w:eastAsia="Times New Roman" w:hAnsi="Times New Roman" w:cs="Times New Roman"/>
          <w:sz w:val="24"/>
          <w:highlight w:val="white"/>
        </w:rPr>
        <w:lastRenderedPageBreak/>
        <w:t>needed proteins and organs.</w:t>
      </w:r>
      <w:r>
        <w:rPr>
          <w:rFonts w:ascii="Times New Roman" w:eastAsia="Times New Roman" w:hAnsi="Times New Roman" w:cs="Times New Roman"/>
          <w:sz w:val="24"/>
          <w:highlight w:val="white"/>
          <w:vertAlign w:val="superscript"/>
        </w:rPr>
        <w:footnoteReference w:id="27"/>
      </w:r>
      <w:r>
        <w:rPr>
          <w:rFonts w:ascii="Times New Roman" w:eastAsia="Times New Roman" w:hAnsi="Times New Roman" w:cs="Times New Roman"/>
          <w:sz w:val="24"/>
          <w:highlight w:val="white"/>
        </w:rPr>
        <w:t xml:space="preserve"> Many ethical issues are flagged by the development of the transgenic animal are important to take note of when discussing the issuance of pate</w:t>
      </w:r>
      <w:r>
        <w:rPr>
          <w:rFonts w:ascii="Times New Roman" w:eastAsia="Times New Roman" w:hAnsi="Times New Roman" w:cs="Times New Roman"/>
          <w:sz w:val="24"/>
          <w:highlight w:val="white"/>
        </w:rPr>
        <w:t>nts for these animals. Any issuance of a patent in this highly charged area carries the United State’s ethical, as well as legal endorsement. Specifically, the United States effectively signals its implicit approval of an invention by its grant of a patent</w:t>
      </w:r>
      <w:r>
        <w:rPr>
          <w:rFonts w:ascii="Times New Roman" w:eastAsia="Times New Roman" w:hAnsi="Times New Roman" w:cs="Times New Roman"/>
          <w:sz w:val="24"/>
          <w:highlight w:val="white"/>
        </w:rPr>
        <w:t xml:space="preserve"> because protection is only granted for any “new and useful process, machine, manufacture, or composition of matter, or any new and useful improvement thereof.”</w:t>
      </w:r>
      <w:r>
        <w:rPr>
          <w:rFonts w:ascii="Times New Roman" w:eastAsia="Times New Roman" w:hAnsi="Times New Roman" w:cs="Times New Roman"/>
          <w:sz w:val="24"/>
          <w:highlight w:val="white"/>
          <w:vertAlign w:val="superscript"/>
        </w:rPr>
        <w:footnoteReference w:id="28"/>
      </w:r>
      <w:r>
        <w:rPr>
          <w:rFonts w:ascii="Times New Roman" w:eastAsia="Times New Roman" w:hAnsi="Times New Roman" w:cs="Times New Roman"/>
          <w:sz w:val="24"/>
          <w:highlight w:val="white"/>
        </w:rPr>
        <w:t xml:space="preserve"> </w:t>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highlight w:val="white"/>
        </w:rPr>
        <w:t>On April 12, 1988, the USPTO issued a patent to Harvard University which claimed “a transgen</w:t>
      </w:r>
      <w:r>
        <w:rPr>
          <w:rFonts w:ascii="Times New Roman" w:eastAsia="Times New Roman" w:hAnsi="Times New Roman" w:cs="Times New Roman"/>
          <w:sz w:val="24"/>
          <w:highlight w:val="white"/>
        </w:rPr>
        <w:t>ic non-human mammal all of whose germ cells and somatic cells contain a recombinant activated oncogene sequence introduced into said mammal, or an ancestor of said mammal, at an embryonic stage.</w:t>
      </w:r>
      <w:r>
        <w:rPr>
          <w:rFonts w:ascii="Times New Roman" w:eastAsia="Times New Roman" w:hAnsi="Times New Roman" w:cs="Times New Roman"/>
          <w:sz w:val="24"/>
          <w:highlight w:val="white"/>
          <w:vertAlign w:val="superscript"/>
        </w:rPr>
        <w:footnoteReference w:id="29"/>
      </w:r>
      <w:r>
        <w:rPr>
          <w:rFonts w:ascii="Times New Roman" w:eastAsia="Times New Roman" w:hAnsi="Times New Roman" w:cs="Times New Roman"/>
          <w:sz w:val="24"/>
          <w:highlight w:val="white"/>
        </w:rPr>
        <w:t xml:space="preserve"> This was the first ever patent granted on an animal. The “</w:t>
      </w:r>
      <w:proofErr w:type="spellStart"/>
      <w:r>
        <w:rPr>
          <w:rFonts w:ascii="Times New Roman" w:eastAsia="Times New Roman" w:hAnsi="Times New Roman" w:cs="Times New Roman"/>
          <w:sz w:val="24"/>
          <w:highlight w:val="white"/>
        </w:rPr>
        <w:t>on</w:t>
      </w:r>
      <w:r>
        <w:rPr>
          <w:rFonts w:ascii="Times New Roman" w:eastAsia="Times New Roman" w:hAnsi="Times New Roman" w:cs="Times New Roman"/>
          <w:sz w:val="24"/>
          <w:highlight w:val="white"/>
        </w:rPr>
        <w:t>comouse</w:t>
      </w:r>
      <w:proofErr w:type="spellEnd"/>
      <w:r>
        <w:rPr>
          <w:rFonts w:ascii="Times New Roman" w:eastAsia="Times New Roman" w:hAnsi="Times New Roman" w:cs="Times New Roman"/>
          <w:sz w:val="24"/>
          <w:highlight w:val="white"/>
        </w:rPr>
        <w:t>” was genetically designed to be highly susceptible to cancer through the introduction of the oncogene, which triggers tumor growth, making it highly useful in cancer research.</w:t>
      </w:r>
      <w:r>
        <w:rPr>
          <w:rFonts w:ascii="Times New Roman" w:eastAsia="Times New Roman" w:hAnsi="Times New Roman" w:cs="Times New Roman"/>
          <w:sz w:val="24"/>
          <w:highlight w:val="white"/>
          <w:vertAlign w:val="superscript"/>
        </w:rPr>
        <w:footnoteReference w:id="30"/>
      </w:r>
      <w:r>
        <w:rPr>
          <w:rFonts w:ascii="Times New Roman" w:eastAsia="Times New Roman" w:hAnsi="Times New Roman" w:cs="Times New Roman"/>
          <w:sz w:val="24"/>
          <w:highlight w:val="white"/>
        </w:rPr>
        <w:t xml:space="preserve"> In the actual patent, the scope of the claim is fairly broad, including</w:t>
      </w:r>
      <w:r>
        <w:rPr>
          <w:rFonts w:ascii="Times New Roman" w:eastAsia="Times New Roman" w:hAnsi="Times New Roman" w:cs="Times New Roman"/>
          <w:sz w:val="24"/>
          <w:highlight w:val="white"/>
        </w:rPr>
        <w:t xml:space="preserve"> any mammal within its scope. Specifically, the claim covers “a transgenic, non-human eukaryotic animal whose germ cells and somatic cells contain an activated oncogene sequence introduced into the animal.”</w:t>
      </w:r>
      <w:r>
        <w:rPr>
          <w:rFonts w:ascii="Times New Roman" w:eastAsia="Times New Roman" w:hAnsi="Times New Roman" w:cs="Times New Roman"/>
          <w:sz w:val="24"/>
          <w:highlight w:val="white"/>
          <w:vertAlign w:val="superscript"/>
        </w:rPr>
        <w:footnoteReference w:id="31"/>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highlight w:val="white"/>
        </w:rPr>
        <w:t>Opponents to the grant of patents on animals an</w:t>
      </w:r>
      <w:r>
        <w:rPr>
          <w:rFonts w:ascii="Times New Roman" w:eastAsia="Times New Roman" w:hAnsi="Times New Roman" w:cs="Times New Roman"/>
          <w:sz w:val="24"/>
          <w:highlight w:val="white"/>
        </w:rPr>
        <w:t>d animal varieties raised two major issues. First, they argued that higher order animals, such as mammals, should be exempt from patentability even if they do meet the standards set forth by the patent system of novelty or industrial applicability and use.</w:t>
      </w:r>
      <w:r>
        <w:rPr>
          <w:rFonts w:ascii="Times New Roman" w:eastAsia="Times New Roman" w:hAnsi="Times New Roman" w:cs="Times New Roman"/>
          <w:sz w:val="24"/>
          <w:highlight w:val="white"/>
        </w:rPr>
        <w:t xml:space="preserve"> Second, they argued that moral issues raised by the suffering caused to transgenic animals should be taken into account when granting patent protection.</w:t>
      </w:r>
      <w:r>
        <w:rPr>
          <w:rFonts w:ascii="Times New Roman" w:eastAsia="Times New Roman" w:hAnsi="Times New Roman" w:cs="Times New Roman"/>
          <w:sz w:val="24"/>
          <w:highlight w:val="white"/>
          <w:vertAlign w:val="superscript"/>
        </w:rPr>
        <w:footnoteReference w:id="32"/>
      </w:r>
      <w:r>
        <w:rPr>
          <w:rFonts w:ascii="Times New Roman" w:eastAsia="Times New Roman" w:hAnsi="Times New Roman" w:cs="Times New Roman"/>
          <w:sz w:val="24"/>
          <w:highlight w:val="white"/>
        </w:rPr>
        <w:t xml:space="preserve"> The United States apparently dismissed any of these concerns by granting the patent application. It s</w:t>
      </w:r>
      <w:r>
        <w:rPr>
          <w:rFonts w:ascii="Times New Roman" w:eastAsia="Times New Roman" w:hAnsi="Times New Roman" w:cs="Times New Roman"/>
          <w:sz w:val="24"/>
          <w:highlight w:val="white"/>
        </w:rPr>
        <w:t>hould be noted though, that the patent does explicitly exclude humans from its claim. Additionally, this claim fell in line with current jurisprudence because it sought to protect a “</w:t>
      </w:r>
      <w:proofErr w:type="spellStart"/>
      <w:r>
        <w:rPr>
          <w:rFonts w:ascii="Times New Roman" w:eastAsia="Times New Roman" w:hAnsi="Times New Roman" w:cs="Times New Roman"/>
          <w:sz w:val="24"/>
        </w:rPr>
        <w:t>nonnaturally</w:t>
      </w:r>
      <w:proofErr w:type="spellEnd"/>
      <w:r>
        <w:rPr>
          <w:rFonts w:ascii="Times New Roman" w:eastAsia="Times New Roman" w:hAnsi="Times New Roman" w:cs="Times New Roman"/>
          <w:sz w:val="24"/>
        </w:rPr>
        <w:t xml:space="preserve"> occurring manufacture or composition of matter - a product o</w:t>
      </w:r>
      <w:r>
        <w:rPr>
          <w:rFonts w:ascii="Times New Roman" w:eastAsia="Times New Roman" w:hAnsi="Times New Roman" w:cs="Times New Roman"/>
          <w:sz w:val="24"/>
        </w:rPr>
        <w:t>f human ingenuity ‘having a distinctive name, character [and] use.’”</w:t>
      </w:r>
      <w:r>
        <w:rPr>
          <w:rFonts w:ascii="Times New Roman" w:eastAsia="Times New Roman" w:hAnsi="Times New Roman" w:cs="Times New Roman"/>
          <w:sz w:val="24"/>
          <w:vertAlign w:val="superscript"/>
        </w:rPr>
        <w:footnoteReference w:id="33"/>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highlight w:val="white"/>
        </w:rPr>
        <w:t>Conversely, the Canadian Supreme Court invalidated the patent as a natural product in Harvard College v. Canada (Commissioner of Patents).</w:t>
      </w:r>
      <w:r>
        <w:rPr>
          <w:rFonts w:ascii="Times New Roman" w:eastAsia="Times New Roman" w:hAnsi="Times New Roman" w:cs="Times New Roman"/>
          <w:sz w:val="24"/>
          <w:highlight w:val="white"/>
          <w:vertAlign w:val="superscript"/>
        </w:rPr>
        <w:footnoteReference w:id="34"/>
      </w:r>
      <w:r>
        <w:rPr>
          <w:rFonts w:ascii="Times New Roman" w:eastAsia="Times New Roman" w:hAnsi="Times New Roman" w:cs="Times New Roman"/>
          <w:sz w:val="24"/>
          <w:highlight w:val="white"/>
        </w:rPr>
        <w:t xml:space="preserve"> Initially, the Canadian patent examiner rejec</w:t>
      </w:r>
      <w:r>
        <w:rPr>
          <w:rFonts w:ascii="Times New Roman" w:eastAsia="Times New Roman" w:hAnsi="Times New Roman" w:cs="Times New Roman"/>
          <w:sz w:val="24"/>
          <w:highlight w:val="white"/>
        </w:rPr>
        <w:t xml:space="preserve">ted the claims to the transgenic animal described in the claim because it did not fit the definition of an invention, but allowed claims for the process of obtaining the </w:t>
      </w:r>
      <w:proofErr w:type="spellStart"/>
      <w:r>
        <w:rPr>
          <w:rFonts w:ascii="Times New Roman" w:eastAsia="Times New Roman" w:hAnsi="Times New Roman" w:cs="Times New Roman"/>
          <w:sz w:val="24"/>
          <w:highlight w:val="white"/>
        </w:rPr>
        <w:t>oncomouse</w:t>
      </w:r>
      <w:proofErr w:type="spellEnd"/>
      <w:r>
        <w:rPr>
          <w:rFonts w:ascii="Times New Roman" w:eastAsia="Times New Roman" w:hAnsi="Times New Roman" w:cs="Times New Roman"/>
          <w:sz w:val="24"/>
          <w:highlight w:val="white"/>
        </w:rPr>
        <w:t>.</w:t>
      </w:r>
      <w:r>
        <w:rPr>
          <w:rFonts w:ascii="Times New Roman" w:eastAsia="Times New Roman" w:hAnsi="Times New Roman" w:cs="Times New Roman"/>
          <w:sz w:val="24"/>
          <w:highlight w:val="white"/>
          <w:vertAlign w:val="superscript"/>
        </w:rPr>
        <w:footnoteReference w:id="35"/>
      </w:r>
      <w:r>
        <w:rPr>
          <w:rFonts w:ascii="Times New Roman" w:eastAsia="Times New Roman" w:hAnsi="Times New Roman" w:cs="Times New Roman"/>
          <w:sz w:val="24"/>
          <w:highlight w:val="white"/>
        </w:rPr>
        <w:t xml:space="preserve"> In </w:t>
      </w:r>
      <w:r>
        <w:rPr>
          <w:rFonts w:ascii="Times New Roman" w:eastAsia="Times New Roman" w:hAnsi="Times New Roman" w:cs="Times New Roman"/>
          <w:sz w:val="24"/>
          <w:highlight w:val="white"/>
        </w:rPr>
        <w:lastRenderedPageBreak/>
        <w:t xml:space="preserve">2002, the Supreme Court of Canada held that higher life forms were not </w:t>
      </w:r>
      <w:r>
        <w:rPr>
          <w:rFonts w:ascii="Times New Roman" w:eastAsia="Times New Roman" w:hAnsi="Times New Roman" w:cs="Times New Roman"/>
          <w:sz w:val="24"/>
          <w:highlight w:val="white"/>
        </w:rPr>
        <w:t>patentable because they were not a “manufacture or composition of matter within the meaning of invention” of the Canadian Patent Act. The Court reached this conclusion by reasoning that a manufacture was interpreted as a non-living mechanistic product or p</w:t>
      </w:r>
      <w:r>
        <w:rPr>
          <w:rFonts w:ascii="Times New Roman" w:eastAsia="Times New Roman" w:hAnsi="Times New Roman" w:cs="Times New Roman"/>
          <w:sz w:val="24"/>
          <w:highlight w:val="white"/>
        </w:rPr>
        <w:t>rocess. It found that the words “machine” and “manufacture” do not imply a conscious, sentient living creature. Additionally, the Court held that a composition of matter encompassed the mixing or combination of ingredients or substances by a person, and th</w:t>
      </w:r>
      <w:r>
        <w:rPr>
          <w:rFonts w:ascii="Times New Roman" w:eastAsia="Times New Roman" w:hAnsi="Times New Roman" w:cs="Times New Roman"/>
          <w:sz w:val="24"/>
          <w:highlight w:val="white"/>
        </w:rPr>
        <w:t xml:space="preserve">at the formation of an adult mouse is a complex process which requires no human intervention. Specifically, the body of a mouse “is composed of various ingredients or substances, but it does not consist of ingredients or substances that have been combined </w:t>
      </w:r>
      <w:r>
        <w:rPr>
          <w:rFonts w:ascii="Times New Roman" w:eastAsia="Times New Roman" w:hAnsi="Times New Roman" w:cs="Times New Roman"/>
          <w:sz w:val="24"/>
          <w:highlight w:val="white"/>
        </w:rPr>
        <w:t xml:space="preserve">or mixed together by a person.” </w:t>
      </w:r>
      <w:r>
        <w:rPr>
          <w:rFonts w:ascii="Times New Roman" w:eastAsia="Times New Roman" w:hAnsi="Times New Roman" w:cs="Times New Roman"/>
          <w:sz w:val="24"/>
          <w:highlight w:val="white"/>
          <w:vertAlign w:val="superscript"/>
        </w:rPr>
        <w:footnoteReference w:id="36"/>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highlight w:val="white"/>
        </w:rPr>
        <w:t xml:space="preserve"> Here, although the Court held that the actual body of the mouse did not fall into the patentable definitions, it stated that microorganisms, or oncogene-injected eggs that were capable of maturing into the </w:t>
      </w:r>
      <w:proofErr w:type="spellStart"/>
      <w:r>
        <w:rPr>
          <w:rFonts w:ascii="Times New Roman" w:eastAsia="Times New Roman" w:hAnsi="Times New Roman" w:cs="Times New Roman"/>
          <w:sz w:val="24"/>
          <w:highlight w:val="white"/>
        </w:rPr>
        <w:t>oncomouse</w:t>
      </w:r>
      <w:proofErr w:type="spellEnd"/>
      <w:r>
        <w:rPr>
          <w:rFonts w:ascii="Times New Roman" w:eastAsia="Times New Roman" w:hAnsi="Times New Roman" w:cs="Times New Roman"/>
          <w:sz w:val="24"/>
          <w:highlight w:val="white"/>
        </w:rPr>
        <w:t>, may</w:t>
      </w:r>
      <w:r>
        <w:rPr>
          <w:rFonts w:ascii="Times New Roman" w:eastAsia="Times New Roman" w:hAnsi="Times New Roman" w:cs="Times New Roman"/>
          <w:sz w:val="24"/>
          <w:highlight w:val="white"/>
        </w:rPr>
        <w:t xml:space="preserve"> be a mixture of ingredients and thus patentable under Canadian Law..</w:t>
      </w:r>
      <w:r>
        <w:rPr>
          <w:rFonts w:ascii="Times New Roman" w:eastAsia="Times New Roman" w:hAnsi="Times New Roman" w:cs="Times New Roman"/>
          <w:sz w:val="24"/>
          <w:highlight w:val="white"/>
          <w:vertAlign w:val="superscript"/>
        </w:rPr>
        <w:footnoteReference w:id="37"/>
      </w:r>
      <w:r>
        <w:rPr>
          <w:rFonts w:ascii="Times New Roman" w:eastAsia="Times New Roman" w:hAnsi="Times New Roman" w:cs="Times New Roman"/>
          <w:sz w:val="24"/>
          <w:highlight w:val="white"/>
        </w:rPr>
        <w:t xml:space="preserve"> Additionally, the Canadian Supreme Court endorsed the same argument that failed in </w:t>
      </w:r>
      <w:proofErr w:type="spellStart"/>
      <w:r>
        <w:rPr>
          <w:rFonts w:ascii="Times New Roman" w:eastAsia="Times New Roman" w:hAnsi="Times New Roman" w:cs="Times New Roman"/>
          <w:i/>
          <w:sz w:val="24"/>
          <w:highlight w:val="white"/>
        </w:rPr>
        <w:t>Chakrabarty</w:t>
      </w:r>
      <w:proofErr w:type="spellEnd"/>
      <w:r>
        <w:rPr>
          <w:rFonts w:ascii="Times New Roman" w:eastAsia="Times New Roman" w:hAnsi="Times New Roman" w:cs="Times New Roman"/>
          <w:sz w:val="24"/>
          <w:highlight w:val="white"/>
        </w:rPr>
        <w:t xml:space="preserve">. Specifically, the Court held that because no mention of mammals was made in the Canadian Patent Act of 1869, it was up to Parliament to debate and deliberate over the contentious social and moral issues raised by the patenting of such life forms. </w:t>
      </w:r>
    </w:p>
    <w:p w:rsidR="00CC1390" w:rsidRDefault="00CC1390">
      <w:pPr>
        <w:pStyle w:val="normal0"/>
        <w:ind w:firstLine="720"/>
      </w:pPr>
    </w:p>
    <w:p w:rsidR="00CC1390" w:rsidRDefault="00F67470">
      <w:pPr>
        <w:pStyle w:val="normal0"/>
        <w:ind w:firstLine="720"/>
      </w:pPr>
      <w:r>
        <w:rPr>
          <w:rFonts w:ascii="Times New Roman" w:eastAsia="Times New Roman" w:hAnsi="Times New Roman" w:cs="Times New Roman"/>
          <w:sz w:val="24"/>
          <w:highlight w:val="white"/>
        </w:rPr>
        <w:t xml:space="preserve">On the other hand, the European Patent Office (EPO), granted the patent to the </w:t>
      </w:r>
      <w:proofErr w:type="spellStart"/>
      <w:r>
        <w:rPr>
          <w:rFonts w:ascii="Times New Roman" w:eastAsia="Times New Roman" w:hAnsi="Times New Roman" w:cs="Times New Roman"/>
          <w:sz w:val="24"/>
          <w:highlight w:val="white"/>
        </w:rPr>
        <w:t>oncomouse</w:t>
      </w:r>
      <w:proofErr w:type="spellEnd"/>
      <w:r>
        <w:rPr>
          <w:rFonts w:ascii="Times New Roman" w:eastAsia="Times New Roman" w:hAnsi="Times New Roman" w:cs="Times New Roman"/>
          <w:sz w:val="24"/>
          <w:highlight w:val="white"/>
        </w:rPr>
        <w:t xml:space="preserve"> in 2004. The EPO, which follows the standards of the European Patent Convention (EPC), applied a utilitarian test. Article 53(a) of the EPC prohibits patents for inven</w:t>
      </w:r>
      <w:r>
        <w:rPr>
          <w:rFonts w:ascii="Times New Roman" w:eastAsia="Times New Roman" w:hAnsi="Times New Roman" w:cs="Times New Roman"/>
          <w:sz w:val="24"/>
          <w:highlight w:val="white"/>
        </w:rPr>
        <w:t>tions “</w:t>
      </w:r>
      <w:r>
        <w:rPr>
          <w:rFonts w:ascii="Times New Roman" w:eastAsia="Times New Roman" w:hAnsi="Times New Roman" w:cs="Times New Roman"/>
          <w:color w:val="3B3B3B"/>
          <w:sz w:val="24"/>
          <w:shd w:val="clear" w:color="auto" w:fill="FAFAFA"/>
        </w:rPr>
        <w:t>"the pu</w:t>
      </w:r>
      <w:r>
        <w:rPr>
          <w:rFonts w:ascii="Times New Roman" w:eastAsia="Times New Roman" w:hAnsi="Times New Roman" w:cs="Times New Roman"/>
          <w:sz w:val="24"/>
          <w:shd w:val="clear" w:color="auto" w:fill="FAFAFA"/>
        </w:rPr>
        <w:t xml:space="preserve">blication or exploitation of which would be contrary to </w:t>
      </w:r>
      <w:proofErr w:type="spellStart"/>
      <w:r>
        <w:rPr>
          <w:rFonts w:ascii="Times New Roman" w:eastAsia="Times New Roman" w:hAnsi="Times New Roman" w:cs="Times New Roman"/>
          <w:i/>
          <w:sz w:val="24"/>
          <w:shd w:val="clear" w:color="auto" w:fill="FAFAFA"/>
        </w:rPr>
        <w:t>ordre</w:t>
      </w:r>
      <w:proofErr w:type="spellEnd"/>
      <w:r>
        <w:rPr>
          <w:rFonts w:ascii="Times New Roman" w:eastAsia="Times New Roman" w:hAnsi="Times New Roman" w:cs="Times New Roman"/>
          <w:i/>
          <w:sz w:val="24"/>
          <w:shd w:val="clear" w:color="auto" w:fill="FAFAFA"/>
        </w:rPr>
        <w:t xml:space="preserve"> public </w:t>
      </w:r>
      <w:r>
        <w:rPr>
          <w:rFonts w:ascii="Times New Roman" w:eastAsia="Times New Roman" w:hAnsi="Times New Roman" w:cs="Times New Roman"/>
          <w:sz w:val="24"/>
          <w:shd w:val="clear" w:color="auto" w:fill="FAFAFA"/>
        </w:rPr>
        <w:t>or morality". Further, Article 53(b) excludes patents on "animal varieties or essentially biological processes for the production of…animals."</w:t>
      </w:r>
      <w:r>
        <w:rPr>
          <w:rFonts w:ascii="Times New Roman" w:eastAsia="Times New Roman" w:hAnsi="Times New Roman" w:cs="Times New Roman"/>
          <w:sz w:val="24"/>
          <w:shd w:val="clear" w:color="auto" w:fill="FAFAFA"/>
          <w:vertAlign w:val="superscript"/>
        </w:rPr>
        <w:footnoteReference w:id="38"/>
      </w:r>
      <w:r>
        <w:rPr>
          <w:rFonts w:ascii="Times New Roman" w:eastAsia="Times New Roman" w:hAnsi="Times New Roman" w:cs="Times New Roman"/>
          <w:sz w:val="24"/>
          <w:shd w:val="clear" w:color="auto" w:fill="FAFAFA"/>
        </w:rPr>
        <w:t xml:space="preserve"> Thus, in order to proceed wit</w:t>
      </w:r>
      <w:r>
        <w:rPr>
          <w:rFonts w:ascii="Times New Roman" w:eastAsia="Times New Roman" w:hAnsi="Times New Roman" w:cs="Times New Roman"/>
          <w:sz w:val="24"/>
          <w:shd w:val="clear" w:color="auto" w:fill="FAFAFA"/>
        </w:rPr>
        <w:t xml:space="preserve">h validation of the patent, the EPO concluded that the exclusion of animal varieties did not constitute a ban on </w:t>
      </w:r>
      <w:proofErr w:type="spellStart"/>
      <w:r>
        <w:rPr>
          <w:rFonts w:ascii="Times New Roman" w:eastAsia="Times New Roman" w:hAnsi="Times New Roman" w:cs="Times New Roman"/>
          <w:sz w:val="24"/>
          <w:shd w:val="clear" w:color="auto" w:fill="FAFAFA"/>
        </w:rPr>
        <w:t>on</w:t>
      </w:r>
      <w:proofErr w:type="spellEnd"/>
      <w:r>
        <w:rPr>
          <w:rFonts w:ascii="Times New Roman" w:eastAsia="Times New Roman" w:hAnsi="Times New Roman" w:cs="Times New Roman"/>
          <w:sz w:val="24"/>
          <w:shd w:val="clear" w:color="auto" w:fill="FAFAFA"/>
        </w:rPr>
        <w:t xml:space="preserve"> patenting animals per se. Additionally, the EPO concluded that the </w:t>
      </w:r>
      <w:proofErr w:type="spellStart"/>
      <w:r>
        <w:rPr>
          <w:rFonts w:ascii="Times New Roman" w:eastAsia="Times New Roman" w:hAnsi="Times New Roman" w:cs="Times New Roman"/>
          <w:sz w:val="24"/>
          <w:shd w:val="clear" w:color="auto" w:fill="FAFAFA"/>
        </w:rPr>
        <w:t>oncomouse</w:t>
      </w:r>
      <w:proofErr w:type="spellEnd"/>
      <w:r>
        <w:rPr>
          <w:rFonts w:ascii="Times New Roman" w:eastAsia="Times New Roman" w:hAnsi="Times New Roman" w:cs="Times New Roman"/>
          <w:sz w:val="24"/>
          <w:shd w:val="clear" w:color="auto" w:fill="FAFAFA"/>
        </w:rPr>
        <w:t xml:space="preserve"> was not an animal variety and thus did not fall within the excl</w:t>
      </w:r>
      <w:r>
        <w:rPr>
          <w:rFonts w:ascii="Times New Roman" w:eastAsia="Times New Roman" w:hAnsi="Times New Roman" w:cs="Times New Roman"/>
          <w:sz w:val="24"/>
          <w:shd w:val="clear" w:color="auto" w:fill="FAFAFA"/>
        </w:rPr>
        <w:t xml:space="preserve">usion. </w:t>
      </w:r>
      <w:r>
        <w:rPr>
          <w:rFonts w:ascii="Times New Roman" w:eastAsia="Times New Roman" w:hAnsi="Times New Roman" w:cs="Times New Roman"/>
          <w:sz w:val="24"/>
          <w:shd w:val="clear" w:color="auto" w:fill="FAFAFA"/>
          <w:vertAlign w:val="superscript"/>
        </w:rPr>
        <w:footnoteReference w:id="39"/>
      </w:r>
      <w:r>
        <w:rPr>
          <w:rFonts w:ascii="Times New Roman" w:eastAsia="Times New Roman" w:hAnsi="Times New Roman" w:cs="Times New Roman"/>
          <w:sz w:val="24"/>
          <w:shd w:val="clear" w:color="auto" w:fill="FAFAFA"/>
        </w:rPr>
        <w:t xml:space="preserve"> In addressing the morality exception, the EPO’s utilitarian test weighed the potential benefits of such a claim against any negative impact it would have. Namely, the EPO weighed the suffering of the </w:t>
      </w:r>
      <w:proofErr w:type="spellStart"/>
      <w:r>
        <w:rPr>
          <w:rFonts w:ascii="Times New Roman" w:eastAsia="Times New Roman" w:hAnsi="Times New Roman" w:cs="Times New Roman"/>
          <w:sz w:val="24"/>
          <w:shd w:val="clear" w:color="auto" w:fill="FAFAFA"/>
        </w:rPr>
        <w:t>oncomice</w:t>
      </w:r>
      <w:proofErr w:type="spellEnd"/>
      <w:r>
        <w:rPr>
          <w:rFonts w:ascii="Times New Roman" w:eastAsia="Times New Roman" w:hAnsi="Times New Roman" w:cs="Times New Roman"/>
          <w:sz w:val="24"/>
          <w:shd w:val="clear" w:color="auto" w:fill="FAFAFA"/>
        </w:rPr>
        <w:t xml:space="preserve"> against the possible benefits to human</w:t>
      </w:r>
      <w:r>
        <w:rPr>
          <w:rFonts w:ascii="Times New Roman" w:eastAsia="Times New Roman" w:hAnsi="Times New Roman" w:cs="Times New Roman"/>
          <w:sz w:val="24"/>
          <w:shd w:val="clear" w:color="auto" w:fill="FAFAFA"/>
        </w:rPr>
        <w:t xml:space="preserve"> medicine. </w:t>
      </w:r>
      <w:r>
        <w:rPr>
          <w:rFonts w:ascii="Times New Roman" w:eastAsia="Times New Roman" w:hAnsi="Times New Roman" w:cs="Times New Roman"/>
          <w:sz w:val="24"/>
          <w:shd w:val="clear" w:color="auto" w:fill="FAFAFA"/>
          <w:vertAlign w:val="superscript"/>
        </w:rPr>
        <w:footnoteReference w:id="40"/>
      </w:r>
      <w:r>
        <w:rPr>
          <w:rFonts w:ascii="Times New Roman" w:eastAsia="Times New Roman" w:hAnsi="Times New Roman" w:cs="Times New Roman"/>
          <w:sz w:val="24"/>
          <w:shd w:val="clear" w:color="auto" w:fill="FAFAFA"/>
        </w:rPr>
        <w:t xml:space="preserve"> Ultimately, the EPO concluded that the benefit of furthering cancer research was a significant medical benefit that outweighed the moral concerns about suffering caused to the </w:t>
      </w:r>
      <w:proofErr w:type="spellStart"/>
      <w:r>
        <w:rPr>
          <w:rFonts w:ascii="Times New Roman" w:eastAsia="Times New Roman" w:hAnsi="Times New Roman" w:cs="Times New Roman"/>
          <w:sz w:val="24"/>
          <w:shd w:val="clear" w:color="auto" w:fill="FAFAFA"/>
        </w:rPr>
        <w:t>oncomice</w:t>
      </w:r>
      <w:proofErr w:type="spellEnd"/>
      <w:r>
        <w:rPr>
          <w:rFonts w:ascii="Times New Roman" w:eastAsia="Times New Roman" w:hAnsi="Times New Roman" w:cs="Times New Roman"/>
          <w:sz w:val="24"/>
          <w:shd w:val="clear" w:color="auto" w:fill="FAFAFA"/>
        </w:rPr>
        <w:t>. It should be noted, however, that during the judicial pro</w:t>
      </w:r>
      <w:r>
        <w:rPr>
          <w:rFonts w:ascii="Times New Roman" w:eastAsia="Times New Roman" w:hAnsi="Times New Roman" w:cs="Times New Roman"/>
          <w:sz w:val="24"/>
          <w:shd w:val="clear" w:color="auto" w:fill="FAFAFA"/>
        </w:rPr>
        <w:t>cess, the patent was amended to solely encompass mice in its application.</w:t>
      </w:r>
      <w:r>
        <w:rPr>
          <w:rFonts w:ascii="Times New Roman" w:eastAsia="Times New Roman" w:hAnsi="Times New Roman" w:cs="Times New Roman"/>
          <w:sz w:val="24"/>
          <w:shd w:val="clear" w:color="auto" w:fill="FAFAFA"/>
          <w:vertAlign w:val="superscript"/>
        </w:rPr>
        <w:footnoteReference w:id="41"/>
      </w:r>
    </w:p>
    <w:p w:rsidR="00CC1390" w:rsidRDefault="00CC1390">
      <w:pPr>
        <w:pStyle w:val="normal0"/>
      </w:pPr>
    </w:p>
    <w:p w:rsidR="00CC1390" w:rsidRDefault="00F67470">
      <w:pPr>
        <w:pStyle w:val="normal0"/>
        <w:numPr>
          <w:ilvl w:val="0"/>
          <w:numId w:val="4"/>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rPr>
        <w:t>Under Current United States Jurisprudence, Transgenic Humans May Be Entitled To Patent Protection Unless Significant Policy Changes Are Implemented.</w:t>
      </w:r>
    </w:p>
    <w:p w:rsidR="00CC1390" w:rsidRDefault="00CC1390">
      <w:pPr>
        <w:pStyle w:val="normal0"/>
      </w:pPr>
    </w:p>
    <w:p w:rsidR="00CC1390" w:rsidRDefault="00F67470">
      <w:pPr>
        <w:pStyle w:val="normal0"/>
      </w:pPr>
      <w:r>
        <w:rPr>
          <w:rFonts w:ascii="Times New Roman" w:eastAsia="Times New Roman" w:hAnsi="Times New Roman" w:cs="Times New Roman"/>
          <w:b/>
          <w:color w:val="0000FF"/>
          <w:sz w:val="24"/>
        </w:rPr>
        <w:tab/>
      </w:r>
      <w:r>
        <w:rPr>
          <w:rFonts w:ascii="Times New Roman" w:eastAsia="Times New Roman" w:hAnsi="Times New Roman" w:cs="Times New Roman"/>
          <w:sz w:val="24"/>
        </w:rPr>
        <w:t>The United States has effecti</w:t>
      </w:r>
      <w:r>
        <w:rPr>
          <w:rFonts w:ascii="Times New Roman" w:eastAsia="Times New Roman" w:hAnsi="Times New Roman" w:cs="Times New Roman"/>
          <w:sz w:val="24"/>
        </w:rPr>
        <w:t>vely held that non-human, transgenic mammals should be entitled to patent protection because they are a product of human ingenuity “having a distinctive name, character [and] use.”</w:t>
      </w:r>
      <w:r>
        <w:rPr>
          <w:rFonts w:ascii="Times New Roman" w:eastAsia="Times New Roman" w:hAnsi="Times New Roman" w:cs="Times New Roman"/>
          <w:sz w:val="24"/>
          <w:vertAlign w:val="superscript"/>
        </w:rPr>
        <w:footnoteReference w:id="42"/>
      </w:r>
      <w:r>
        <w:rPr>
          <w:rFonts w:ascii="Times New Roman" w:eastAsia="Times New Roman" w:hAnsi="Times New Roman" w:cs="Times New Roman"/>
          <w:sz w:val="24"/>
        </w:rPr>
        <w:t xml:space="preserve"> Thus, transgenic humans that exhibit the same sort of traits - are a produ</w:t>
      </w:r>
      <w:r>
        <w:rPr>
          <w:rFonts w:ascii="Times New Roman" w:eastAsia="Times New Roman" w:hAnsi="Times New Roman" w:cs="Times New Roman"/>
          <w:sz w:val="24"/>
        </w:rPr>
        <w:t xml:space="preserve">ct of human ingenuity and have a distinct name, character and use - as the protectable transgenic mammals, should be entitled to the same sort of patent protection. </w:t>
      </w:r>
    </w:p>
    <w:p w:rsidR="00CC1390" w:rsidRDefault="00CC1390">
      <w:pPr>
        <w:pStyle w:val="normal0"/>
      </w:pPr>
    </w:p>
    <w:p w:rsidR="00CC1390" w:rsidRDefault="00F67470">
      <w:pPr>
        <w:pStyle w:val="normal0"/>
      </w:pPr>
      <w:r>
        <w:rPr>
          <w:rFonts w:ascii="Times New Roman" w:eastAsia="Times New Roman" w:hAnsi="Times New Roman" w:cs="Times New Roman"/>
          <w:sz w:val="24"/>
        </w:rPr>
        <w:tab/>
        <w:t>In the area of the human organism patent, the PTO’s stance is quite specific. The Leahy-</w:t>
      </w:r>
      <w:r>
        <w:rPr>
          <w:rFonts w:ascii="Times New Roman" w:eastAsia="Times New Roman" w:hAnsi="Times New Roman" w:cs="Times New Roman"/>
          <w:sz w:val="24"/>
        </w:rPr>
        <w:t>Smith America Invents Act (AIA), states that “</w:t>
      </w:r>
      <w:r>
        <w:rPr>
          <w:rFonts w:ascii="Times New Roman" w:eastAsia="Times New Roman" w:hAnsi="Times New Roman" w:cs="Times New Roman"/>
          <w:sz w:val="24"/>
          <w:highlight w:val="white"/>
        </w:rPr>
        <w:t>notwithstanding any other provision of law, no patent may issue on a claim directed to or encompassing a human organism.”</w:t>
      </w:r>
      <w:r>
        <w:rPr>
          <w:rFonts w:ascii="Times New Roman" w:eastAsia="Times New Roman" w:hAnsi="Times New Roman" w:cs="Times New Roman"/>
          <w:sz w:val="24"/>
          <w:highlight w:val="white"/>
          <w:vertAlign w:val="superscript"/>
        </w:rPr>
        <w:footnoteReference w:id="43"/>
      </w:r>
      <w:r>
        <w:rPr>
          <w:rFonts w:ascii="Times New Roman" w:eastAsia="Times New Roman" w:hAnsi="Times New Roman" w:cs="Times New Roman"/>
          <w:sz w:val="24"/>
          <w:highlight w:val="white"/>
        </w:rPr>
        <w:t xml:space="preserve"> Additionally, the legislative history of the AIA adds to this statement by stating that the PTO has “</w:t>
      </w:r>
      <w:r>
        <w:rPr>
          <w:rFonts w:ascii="Times New Roman" w:eastAsia="Times New Roman" w:hAnsi="Times New Roman" w:cs="Times New Roman"/>
          <w:color w:val="252525"/>
          <w:sz w:val="24"/>
          <w:highlight w:val="white"/>
        </w:rPr>
        <w:t xml:space="preserve">already issued patents on genes, stems cells, animals with human genes, and a host of non-biologic products used by humans, but it has not issued patents </w:t>
      </w:r>
      <w:r>
        <w:rPr>
          <w:rFonts w:ascii="Times New Roman" w:eastAsia="Times New Roman" w:hAnsi="Times New Roman" w:cs="Times New Roman"/>
          <w:color w:val="252525"/>
          <w:sz w:val="24"/>
          <w:highlight w:val="white"/>
        </w:rPr>
        <w:t xml:space="preserve">on claims directed to human organisms, including human embryos and fetuses. My amendment would not affect the former, but would simply affirm the latter.” Here, the PTO has undisputedly excepted human organisms from the scope of patentable subject matter. </w:t>
      </w:r>
    </w:p>
    <w:p w:rsidR="00CC1390" w:rsidRDefault="00CC1390">
      <w:pPr>
        <w:pStyle w:val="normal0"/>
      </w:pPr>
    </w:p>
    <w:p w:rsidR="00CC1390" w:rsidRDefault="00F67470">
      <w:pPr>
        <w:pStyle w:val="normal0"/>
      </w:pPr>
      <w:r>
        <w:rPr>
          <w:rFonts w:ascii="Times New Roman" w:eastAsia="Times New Roman" w:hAnsi="Times New Roman" w:cs="Times New Roman"/>
          <w:color w:val="252525"/>
          <w:sz w:val="24"/>
          <w:highlight w:val="white"/>
        </w:rPr>
        <w:tab/>
        <w:t xml:space="preserve">Although the PTO has clearly stated its stance on the patentability of human organisms, the same line of reasoning used in </w:t>
      </w:r>
      <w:proofErr w:type="spellStart"/>
      <w:r>
        <w:rPr>
          <w:rFonts w:ascii="Times New Roman" w:eastAsia="Times New Roman" w:hAnsi="Times New Roman" w:cs="Times New Roman"/>
          <w:i/>
          <w:color w:val="252525"/>
          <w:sz w:val="24"/>
          <w:highlight w:val="white"/>
        </w:rPr>
        <w:t>Chakrabarty</w:t>
      </w:r>
      <w:proofErr w:type="spellEnd"/>
      <w:r>
        <w:rPr>
          <w:rFonts w:ascii="Times New Roman" w:eastAsia="Times New Roman" w:hAnsi="Times New Roman" w:cs="Times New Roman"/>
          <w:color w:val="252525"/>
          <w:sz w:val="24"/>
          <w:highlight w:val="white"/>
        </w:rPr>
        <w:t xml:space="preserve">, </w:t>
      </w:r>
      <w:r>
        <w:rPr>
          <w:rFonts w:ascii="Times New Roman" w:eastAsia="Times New Roman" w:hAnsi="Times New Roman" w:cs="Times New Roman"/>
          <w:i/>
          <w:color w:val="252525"/>
          <w:sz w:val="24"/>
          <w:highlight w:val="white"/>
        </w:rPr>
        <w:t>Myriad</w:t>
      </w:r>
      <w:r>
        <w:rPr>
          <w:rFonts w:ascii="Times New Roman" w:eastAsia="Times New Roman" w:hAnsi="Times New Roman" w:cs="Times New Roman"/>
          <w:color w:val="252525"/>
          <w:sz w:val="24"/>
          <w:highlight w:val="white"/>
        </w:rPr>
        <w:t xml:space="preserve">, </w:t>
      </w:r>
      <w:r>
        <w:rPr>
          <w:rFonts w:ascii="Times New Roman" w:eastAsia="Times New Roman" w:hAnsi="Times New Roman" w:cs="Times New Roman"/>
          <w:i/>
          <w:color w:val="252525"/>
          <w:sz w:val="24"/>
          <w:highlight w:val="white"/>
        </w:rPr>
        <w:t>Ex parte Allen</w:t>
      </w:r>
      <w:r>
        <w:rPr>
          <w:rFonts w:ascii="Times New Roman" w:eastAsia="Times New Roman" w:hAnsi="Times New Roman" w:cs="Times New Roman"/>
          <w:color w:val="252525"/>
          <w:sz w:val="24"/>
          <w:highlight w:val="white"/>
        </w:rPr>
        <w:t xml:space="preserve"> and the grant of the Harvard </w:t>
      </w:r>
      <w:proofErr w:type="spellStart"/>
      <w:r>
        <w:rPr>
          <w:rFonts w:ascii="Times New Roman" w:eastAsia="Times New Roman" w:hAnsi="Times New Roman" w:cs="Times New Roman"/>
          <w:color w:val="252525"/>
          <w:sz w:val="24"/>
          <w:highlight w:val="white"/>
        </w:rPr>
        <w:t>oncomouse</w:t>
      </w:r>
      <w:proofErr w:type="spellEnd"/>
      <w:r>
        <w:rPr>
          <w:rFonts w:ascii="Times New Roman" w:eastAsia="Times New Roman" w:hAnsi="Times New Roman" w:cs="Times New Roman"/>
          <w:color w:val="252525"/>
          <w:sz w:val="24"/>
          <w:highlight w:val="white"/>
        </w:rPr>
        <w:t xml:space="preserve"> patent could logically be extended to a patent applicat</w:t>
      </w:r>
      <w:r>
        <w:rPr>
          <w:rFonts w:ascii="Times New Roman" w:eastAsia="Times New Roman" w:hAnsi="Times New Roman" w:cs="Times New Roman"/>
          <w:color w:val="252525"/>
          <w:sz w:val="24"/>
          <w:highlight w:val="white"/>
        </w:rPr>
        <w:t xml:space="preserve">ion claiming a transgenic human organism. Namely, in the same way that the United States Supreme Court  validated </w:t>
      </w:r>
      <w:proofErr w:type="spellStart"/>
      <w:r>
        <w:rPr>
          <w:rFonts w:ascii="Times New Roman" w:eastAsia="Times New Roman" w:hAnsi="Times New Roman" w:cs="Times New Roman"/>
          <w:color w:val="252525"/>
          <w:sz w:val="24"/>
          <w:highlight w:val="white"/>
        </w:rPr>
        <w:t>Chakrabarty’s</w:t>
      </w:r>
      <w:proofErr w:type="spellEnd"/>
      <w:r>
        <w:rPr>
          <w:rFonts w:ascii="Times New Roman" w:eastAsia="Times New Roman" w:hAnsi="Times New Roman" w:cs="Times New Roman"/>
          <w:color w:val="252525"/>
          <w:sz w:val="24"/>
          <w:highlight w:val="white"/>
        </w:rPr>
        <w:t xml:space="preserve"> patent application for his crude-oil digesting bacterium on the basis that it would never be found in nature in that form, had m</w:t>
      </w:r>
      <w:r>
        <w:rPr>
          <w:rFonts w:ascii="Times New Roman" w:eastAsia="Times New Roman" w:hAnsi="Times New Roman" w:cs="Times New Roman"/>
          <w:color w:val="252525"/>
          <w:sz w:val="24"/>
          <w:highlight w:val="white"/>
        </w:rPr>
        <w:t>arkedly different characteristics from any found in nature, and had the potential for significant utility</w:t>
      </w:r>
      <w:r>
        <w:rPr>
          <w:rFonts w:ascii="Times New Roman" w:eastAsia="Times New Roman" w:hAnsi="Times New Roman" w:cs="Times New Roman"/>
          <w:color w:val="252525"/>
          <w:sz w:val="24"/>
          <w:highlight w:val="white"/>
          <w:vertAlign w:val="superscript"/>
        </w:rPr>
        <w:footnoteReference w:id="44"/>
      </w:r>
      <w:r>
        <w:rPr>
          <w:rFonts w:ascii="Times New Roman" w:eastAsia="Times New Roman" w:hAnsi="Times New Roman" w:cs="Times New Roman"/>
          <w:color w:val="252525"/>
          <w:sz w:val="24"/>
          <w:highlight w:val="white"/>
        </w:rPr>
        <w:t>, a transgenic human organism could be developed with markedly different characteristics from any found in nature with the potential for significant u</w:t>
      </w:r>
      <w:r>
        <w:rPr>
          <w:rFonts w:ascii="Times New Roman" w:eastAsia="Times New Roman" w:hAnsi="Times New Roman" w:cs="Times New Roman"/>
          <w:color w:val="252525"/>
          <w:sz w:val="24"/>
          <w:highlight w:val="white"/>
        </w:rPr>
        <w:t xml:space="preserve">tility. For example, one could imagine the development of a transgenic human that  was capable of a significantly longer lifespan, withstanding disease, or even capable of </w:t>
      </w:r>
      <w:proofErr w:type="spellStart"/>
      <w:r>
        <w:rPr>
          <w:rFonts w:ascii="Times New Roman" w:eastAsia="Times New Roman" w:hAnsi="Times New Roman" w:cs="Times New Roman"/>
          <w:color w:val="252525"/>
          <w:sz w:val="24"/>
          <w:highlight w:val="white"/>
        </w:rPr>
        <w:t>regrowing</w:t>
      </w:r>
      <w:proofErr w:type="spellEnd"/>
      <w:r>
        <w:rPr>
          <w:rFonts w:ascii="Times New Roman" w:eastAsia="Times New Roman" w:hAnsi="Times New Roman" w:cs="Times New Roman"/>
          <w:color w:val="252525"/>
          <w:sz w:val="24"/>
          <w:highlight w:val="white"/>
        </w:rPr>
        <w:t xml:space="preserve"> limbs.  Each of these traits could arguably be said to be markedly distinc</w:t>
      </w:r>
      <w:r>
        <w:rPr>
          <w:rFonts w:ascii="Times New Roman" w:eastAsia="Times New Roman" w:hAnsi="Times New Roman" w:cs="Times New Roman"/>
          <w:color w:val="252525"/>
          <w:sz w:val="24"/>
          <w:highlight w:val="white"/>
        </w:rPr>
        <w:t xml:space="preserve">t from any of those found in nature and could logically provide great potential for significant utility.  </w:t>
      </w:r>
    </w:p>
    <w:p w:rsidR="00CC1390" w:rsidRDefault="00CC1390">
      <w:pPr>
        <w:pStyle w:val="normal0"/>
      </w:pPr>
    </w:p>
    <w:p w:rsidR="00CC1390" w:rsidRDefault="00F67470">
      <w:pPr>
        <w:pStyle w:val="normal0"/>
      </w:pPr>
      <w:r>
        <w:rPr>
          <w:rFonts w:ascii="Times New Roman" w:eastAsia="Times New Roman" w:hAnsi="Times New Roman" w:cs="Times New Roman"/>
          <w:color w:val="252525"/>
          <w:sz w:val="24"/>
          <w:highlight w:val="white"/>
        </w:rPr>
        <w:tab/>
        <w:t xml:space="preserve">In the United States, a patent has already been granted for a sort of genetic engineering of human organisms, which basically amounts to selective </w:t>
      </w:r>
      <w:r>
        <w:rPr>
          <w:rFonts w:ascii="Times New Roman" w:eastAsia="Times New Roman" w:hAnsi="Times New Roman" w:cs="Times New Roman"/>
          <w:color w:val="252525"/>
          <w:sz w:val="24"/>
          <w:highlight w:val="white"/>
        </w:rPr>
        <w:t xml:space="preserve">breeding. The company 23andMe was awarded a patent in 2013 for “gamete donor selection”. This selection process is accomplished </w:t>
      </w:r>
      <w:r>
        <w:rPr>
          <w:rFonts w:ascii="Times New Roman" w:eastAsia="Times New Roman" w:hAnsi="Times New Roman" w:cs="Times New Roman"/>
          <w:color w:val="252525"/>
          <w:sz w:val="24"/>
          <w:highlight w:val="white"/>
        </w:rPr>
        <w:lastRenderedPageBreak/>
        <w:t>through a genetic and computer technologies that would enable parents to handpick a sperm or egg donor with whom they would be l</w:t>
      </w:r>
      <w:r>
        <w:rPr>
          <w:rFonts w:ascii="Times New Roman" w:eastAsia="Times New Roman" w:hAnsi="Times New Roman" w:cs="Times New Roman"/>
          <w:color w:val="252525"/>
          <w:sz w:val="24"/>
          <w:highlight w:val="white"/>
        </w:rPr>
        <w:t>ikely to produce a child born with certain desirable traits.</w:t>
      </w:r>
      <w:r>
        <w:rPr>
          <w:rFonts w:ascii="Times New Roman" w:eastAsia="Times New Roman" w:hAnsi="Times New Roman" w:cs="Times New Roman"/>
          <w:color w:val="252525"/>
          <w:sz w:val="24"/>
          <w:highlight w:val="white"/>
          <w:vertAlign w:val="superscript"/>
        </w:rPr>
        <w:footnoteReference w:id="45"/>
      </w:r>
      <w:r>
        <w:rPr>
          <w:rFonts w:ascii="Times New Roman" w:eastAsia="Times New Roman" w:hAnsi="Times New Roman" w:cs="Times New Roman"/>
          <w:color w:val="252525"/>
          <w:sz w:val="24"/>
          <w:highlight w:val="white"/>
        </w:rPr>
        <w:t xml:space="preserve">  The company adamantly holds that it does not plan to use the  technology beyond application as a “Family Traits Inheritance Calculator”, but the language of the patent grant provides sufficient</w:t>
      </w:r>
      <w:r>
        <w:rPr>
          <w:rFonts w:ascii="Times New Roman" w:eastAsia="Times New Roman" w:hAnsi="Times New Roman" w:cs="Times New Roman"/>
          <w:color w:val="252525"/>
          <w:sz w:val="24"/>
          <w:highlight w:val="white"/>
        </w:rPr>
        <w:t xml:space="preserve">ly wide berth for 23andMe to do so itself, or license the technology out to other who wish to do so. </w:t>
      </w:r>
      <w:r>
        <w:rPr>
          <w:rFonts w:ascii="Times New Roman" w:eastAsia="Times New Roman" w:hAnsi="Times New Roman" w:cs="Times New Roman"/>
          <w:color w:val="252525"/>
          <w:sz w:val="24"/>
          <w:highlight w:val="white"/>
          <w:vertAlign w:val="superscript"/>
        </w:rPr>
        <w:footnoteReference w:id="46"/>
      </w:r>
      <w:r>
        <w:rPr>
          <w:rFonts w:ascii="Times New Roman" w:eastAsia="Times New Roman" w:hAnsi="Times New Roman" w:cs="Times New Roman"/>
          <w:color w:val="252525"/>
          <w:sz w:val="24"/>
          <w:highlight w:val="white"/>
        </w:rPr>
        <w:t xml:space="preserve">Gamete selection differs significantly from the type of genetic engineering involved in creating an transgenic human organism. Namely, although this sort </w:t>
      </w:r>
      <w:r>
        <w:rPr>
          <w:rFonts w:ascii="Times New Roman" w:eastAsia="Times New Roman" w:hAnsi="Times New Roman" w:cs="Times New Roman"/>
          <w:color w:val="252525"/>
          <w:sz w:val="24"/>
          <w:highlight w:val="white"/>
        </w:rPr>
        <w:t>of carefully calculated cross breeding and genetic engineering would each result in an organism with new features, the  former would fail to meet the standards set forth by the PTO. Specifically, the  resulting organism from cross breeding would likely not</w:t>
      </w:r>
      <w:r>
        <w:rPr>
          <w:rFonts w:ascii="Times New Roman" w:eastAsia="Times New Roman" w:hAnsi="Times New Roman" w:cs="Times New Roman"/>
          <w:color w:val="252525"/>
          <w:sz w:val="24"/>
          <w:highlight w:val="white"/>
        </w:rPr>
        <w:t xml:space="preserve"> exhibit traits undiscoverable in nature, or that necessarily provide the potential for  significant utility. Some examples could be theorized, however, including  cross breeding to achieve children completely immune to specific diseases or mitochondrial d</w:t>
      </w:r>
      <w:r>
        <w:rPr>
          <w:rFonts w:ascii="Times New Roman" w:eastAsia="Times New Roman" w:hAnsi="Times New Roman" w:cs="Times New Roman"/>
          <w:color w:val="252525"/>
          <w:sz w:val="24"/>
          <w:highlight w:val="white"/>
        </w:rPr>
        <w:t xml:space="preserve">isorders (as 23andMe hopes to do). Yet, these would not be markedly different from those  children born naturally with that trait. Although there are key differences in the two technologies, the patent award to 23andMe arguably sets the stage for the next </w:t>
      </w:r>
      <w:r>
        <w:rPr>
          <w:rFonts w:ascii="Times New Roman" w:eastAsia="Times New Roman" w:hAnsi="Times New Roman" w:cs="Times New Roman"/>
          <w:color w:val="252525"/>
          <w:sz w:val="24"/>
          <w:highlight w:val="white"/>
        </w:rPr>
        <w:t xml:space="preserve">logical step - the transgenic human patent. </w:t>
      </w:r>
    </w:p>
    <w:p w:rsidR="00CC1390" w:rsidRDefault="00CC1390">
      <w:pPr>
        <w:pStyle w:val="normal0"/>
      </w:pPr>
    </w:p>
    <w:p w:rsidR="00CC1390" w:rsidRDefault="00F67470">
      <w:pPr>
        <w:pStyle w:val="normal0"/>
      </w:pPr>
      <w:r>
        <w:rPr>
          <w:rFonts w:ascii="Times New Roman" w:eastAsia="Times New Roman" w:hAnsi="Times New Roman" w:cs="Times New Roman"/>
          <w:color w:val="252525"/>
          <w:sz w:val="24"/>
          <w:highlight w:val="white"/>
        </w:rPr>
        <w:tab/>
      </w:r>
      <w:r>
        <w:rPr>
          <w:rFonts w:ascii="Times New Roman" w:eastAsia="Times New Roman" w:hAnsi="Times New Roman" w:cs="Times New Roman"/>
          <w:sz w:val="24"/>
          <w:highlight w:val="white"/>
        </w:rPr>
        <w:t xml:space="preserve">Recently, the German company </w:t>
      </w:r>
      <w:proofErr w:type="spellStart"/>
      <w:r>
        <w:rPr>
          <w:rFonts w:ascii="Times New Roman" w:eastAsia="Times New Roman" w:hAnsi="Times New Roman" w:cs="Times New Roman"/>
          <w:sz w:val="24"/>
          <w:highlight w:val="white"/>
        </w:rPr>
        <w:t>TissUse</w:t>
      </w:r>
      <w:proofErr w:type="spellEnd"/>
      <w:r>
        <w:rPr>
          <w:rFonts w:ascii="Times New Roman" w:eastAsia="Times New Roman" w:hAnsi="Times New Roman" w:cs="Times New Roman"/>
          <w:sz w:val="24"/>
          <w:highlight w:val="white"/>
        </w:rPr>
        <w:t xml:space="preserve"> has “developed methods to generate and use subunits of human organs to achieve miniaturized constructs representative of human organs for use in the chip. It comprises two </w:t>
      </w:r>
      <w:r>
        <w:rPr>
          <w:rFonts w:ascii="Times New Roman" w:eastAsia="Times New Roman" w:hAnsi="Times New Roman" w:cs="Times New Roman"/>
          <w:sz w:val="24"/>
          <w:highlight w:val="white"/>
        </w:rPr>
        <w:t>independent circulatory networks at the scale of a microscope glass slide.”</w:t>
      </w:r>
      <w:r>
        <w:rPr>
          <w:rFonts w:ascii="Times New Roman" w:eastAsia="Times New Roman" w:hAnsi="Times New Roman" w:cs="Times New Roman"/>
          <w:sz w:val="24"/>
          <w:highlight w:val="white"/>
          <w:vertAlign w:val="superscript"/>
        </w:rPr>
        <w:footnoteReference w:id="47"/>
      </w:r>
      <w:r>
        <w:rPr>
          <w:rFonts w:ascii="Times New Roman" w:eastAsia="Times New Roman" w:hAnsi="Times New Roman" w:cs="Times New Roman"/>
          <w:sz w:val="24"/>
          <w:highlight w:val="white"/>
        </w:rPr>
        <w:t xml:space="preserve"> Detractors </w:t>
      </w:r>
      <w:r>
        <w:rPr>
          <w:rFonts w:ascii="Times New Roman" w:eastAsia="Times New Roman" w:hAnsi="Times New Roman" w:cs="Times New Roman"/>
          <w:color w:val="252525"/>
          <w:sz w:val="24"/>
          <w:highlight w:val="white"/>
        </w:rPr>
        <w:t>view this as creating genetically modified humans in the same vein as geneti</w:t>
      </w:r>
      <w:r>
        <w:rPr>
          <w:rFonts w:ascii="Times New Roman" w:eastAsia="Times New Roman" w:hAnsi="Times New Roman" w:cs="Times New Roman"/>
          <w:sz w:val="24"/>
          <w:highlight w:val="white"/>
        </w:rPr>
        <w:t>cally modified plants. These “micro-humans” would replace the need for using animals in labo</w:t>
      </w:r>
      <w:r>
        <w:rPr>
          <w:rFonts w:ascii="Times New Roman" w:eastAsia="Times New Roman" w:hAnsi="Times New Roman" w:cs="Times New Roman"/>
          <w:sz w:val="24"/>
          <w:highlight w:val="white"/>
        </w:rPr>
        <w:t xml:space="preserve">ratory testing. According to </w:t>
      </w:r>
      <w:proofErr w:type="spellStart"/>
      <w:r>
        <w:rPr>
          <w:rFonts w:ascii="Times New Roman" w:eastAsia="Times New Roman" w:hAnsi="Times New Roman" w:cs="Times New Roman"/>
          <w:sz w:val="24"/>
          <w:highlight w:val="white"/>
        </w:rPr>
        <w:t>TissUse</w:t>
      </w:r>
      <w:proofErr w:type="spellEnd"/>
      <w:r>
        <w:rPr>
          <w:rFonts w:ascii="Times New Roman" w:eastAsia="Times New Roman" w:hAnsi="Times New Roman" w:cs="Times New Roman"/>
          <w:sz w:val="24"/>
          <w:highlight w:val="white"/>
        </w:rPr>
        <w:t>, the technology would closely simulates the activity of multiple human organs in their true physiological context at the smallest possible biological scale.</w:t>
      </w:r>
      <w:r>
        <w:rPr>
          <w:rFonts w:ascii="Times New Roman" w:eastAsia="Times New Roman" w:hAnsi="Times New Roman" w:cs="Times New Roman"/>
          <w:sz w:val="24"/>
          <w:highlight w:val="white"/>
          <w:vertAlign w:val="superscript"/>
        </w:rPr>
        <w:footnoteReference w:id="48"/>
      </w:r>
      <w:r>
        <w:rPr>
          <w:rFonts w:ascii="Times New Roman" w:eastAsia="Times New Roman" w:hAnsi="Times New Roman" w:cs="Times New Roman"/>
          <w:sz w:val="24"/>
          <w:highlight w:val="white"/>
        </w:rPr>
        <w:t xml:space="preserve"> Basically, the “micro-human” would be comprised of a miniatur</w:t>
      </w:r>
      <w:r>
        <w:rPr>
          <w:rFonts w:ascii="Times New Roman" w:eastAsia="Times New Roman" w:hAnsi="Times New Roman" w:cs="Times New Roman"/>
          <w:sz w:val="24"/>
          <w:highlight w:val="white"/>
        </w:rPr>
        <w:t xml:space="preserve">e scale version of </w:t>
      </w:r>
      <w:proofErr w:type="spellStart"/>
      <w:r>
        <w:rPr>
          <w:rFonts w:ascii="Times New Roman" w:eastAsia="Times New Roman" w:hAnsi="Times New Roman" w:cs="Times New Roman"/>
          <w:sz w:val="24"/>
          <w:highlight w:val="white"/>
        </w:rPr>
        <w:t>interating</w:t>
      </w:r>
      <w:proofErr w:type="spellEnd"/>
      <w:r>
        <w:rPr>
          <w:rFonts w:ascii="Times New Roman" w:eastAsia="Times New Roman" w:hAnsi="Times New Roman" w:cs="Times New Roman"/>
          <w:sz w:val="24"/>
          <w:highlight w:val="white"/>
        </w:rPr>
        <w:t xml:space="preserve"> human organs that are stimulated by smartphone-sized microchips. The company’s technology has yet to be approved by regulators, but the implications are clear. In the context of United States patent law and the reasoning state</w:t>
      </w:r>
      <w:r>
        <w:rPr>
          <w:rFonts w:ascii="Times New Roman" w:eastAsia="Times New Roman" w:hAnsi="Times New Roman" w:cs="Times New Roman"/>
          <w:sz w:val="24"/>
          <w:highlight w:val="white"/>
        </w:rPr>
        <w:t xml:space="preserve">d in </w:t>
      </w:r>
      <w:proofErr w:type="spellStart"/>
      <w:r>
        <w:rPr>
          <w:rFonts w:ascii="Times New Roman" w:eastAsia="Times New Roman" w:hAnsi="Times New Roman" w:cs="Times New Roman"/>
          <w:i/>
          <w:sz w:val="24"/>
          <w:highlight w:val="white"/>
        </w:rPr>
        <w:t>Chakrabarty</w:t>
      </w:r>
      <w:proofErr w:type="spellEnd"/>
      <w:r>
        <w:rPr>
          <w:rFonts w:ascii="Times New Roman" w:eastAsia="Times New Roman" w:hAnsi="Times New Roman" w:cs="Times New Roman"/>
          <w:i/>
          <w:sz w:val="24"/>
          <w:highlight w:val="white"/>
        </w:rPr>
        <w:t xml:space="preserve"> </w:t>
      </w:r>
      <w:r>
        <w:rPr>
          <w:rFonts w:ascii="Times New Roman" w:eastAsia="Times New Roman" w:hAnsi="Times New Roman" w:cs="Times New Roman"/>
          <w:sz w:val="24"/>
          <w:highlight w:val="white"/>
        </w:rPr>
        <w:t xml:space="preserve">and more recently in </w:t>
      </w:r>
      <w:r>
        <w:rPr>
          <w:rFonts w:ascii="Times New Roman" w:eastAsia="Times New Roman" w:hAnsi="Times New Roman" w:cs="Times New Roman"/>
          <w:i/>
          <w:sz w:val="24"/>
          <w:highlight w:val="white"/>
        </w:rPr>
        <w:t>Myriad</w:t>
      </w:r>
      <w:r>
        <w:rPr>
          <w:rFonts w:ascii="Times New Roman" w:eastAsia="Times New Roman" w:hAnsi="Times New Roman" w:cs="Times New Roman"/>
          <w:sz w:val="24"/>
          <w:highlight w:val="white"/>
        </w:rPr>
        <w:t>, this genetically modified “micro-human” could be seen as having markedly different characteristics from those found in nature - they are the size of microchips - and could logically be deemed to provide potenti</w:t>
      </w:r>
      <w:r>
        <w:rPr>
          <w:rFonts w:ascii="Times New Roman" w:eastAsia="Times New Roman" w:hAnsi="Times New Roman" w:cs="Times New Roman"/>
          <w:sz w:val="24"/>
          <w:highlight w:val="white"/>
        </w:rPr>
        <w:t xml:space="preserve">al for significant utility. and thus, be patent eligible. Specifically, the technology would allow for much more specialized, efficient, and relevant drug testing which could enhance the medical field by leaps and bounds and simultaneously cut down on the </w:t>
      </w:r>
      <w:r>
        <w:rPr>
          <w:rFonts w:ascii="Times New Roman" w:eastAsia="Times New Roman" w:hAnsi="Times New Roman" w:cs="Times New Roman"/>
          <w:sz w:val="24"/>
          <w:highlight w:val="white"/>
        </w:rPr>
        <w:t xml:space="preserve">use of </w:t>
      </w:r>
      <w:r>
        <w:rPr>
          <w:rFonts w:ascii="Times New Roman" w:eastAsia="Times New Roman" w:hAnsi="Times New Roman" w:cs="Times New Roman"/>
          <w:sz w:val="24"/>
          <w:highlight w:val="white"/>
        </w:rPr>
        <w:lastRenderedPageBreak/>
        <w:t>animals in laboratory testing. One could imagine the Court, in light of all the recent decisions leading up to the allowance of transgenic mammal patents, construing the AIA’s language narrowly to remove the transgenic human organism from its except</w:t>
      </w:r>
      <w:r>
        <w:rPr>
          <w:rFonts w:ascii="Times New Roman" w:eastAsia="Times New Roman" w:hAnsi="Times New Roman" w:cs="Times New Roman"/>
          <w:sz w:val="24"/>
          <w:highlight w:val="white"/>
        </w:rPr>
        <w:t>ion.</w:t>
      </w:r>
    </w:p>
    <w:p w:rsidR="00CC1390" w:rsidRDefault="00CC1390">
      <w:pPr>
        <w:pStyle w:val="normal0"/>
      </w:pPr>
    </w:p>
    <w:p w:rsidR="00CC1390" w:rsidRDefault="00F67470">
      <w:pPr>
        <w:pStyle w:val="normal0"/>
        <w:ind w:firstLine="720"/>
      </w:pPr>
      <w:r>
        <w:rPr>
          <w:rFonts w:ascii="Times New Roman" w:eastAsia="Times New Roman" w:hAnsi="Times New Roman" w:cs="Times New Roman"/>
          <w:sz w:val="24"/>
          <w:highlight w:val="white"/>
        </w:rPr>
        <w:t>The more likely scenario for the grant of a transgenic human organism patent would be similar to the type of end-result endorsed by 23andMe’s technology. Concerned parents would make a viable consumer base for technology that developed genetically mo</w:t>
      </w:r>
      <w:r>
        <w:rPr>
          <w:rFonts w:ascii="Times New Roman" w:eastAsia="Times New Roman" w:hAnsi="Times New Roman" w:cs="Times New Roman"/>
          <w:sz w:val="24"/>
          <w:highlight w:val="white"/>
        </w:rPr>
        <w:t>dified human children who were less susceptible to disease, birth defects, and the aging process. The technology would be markedly different from the simple gamete selection proposed by 23andMe. Specifically, the transgenic human organism that would be mos</w:t>
      </w:r>
      <w:r>
        <w:rPr>
          <w:rFonts w:ascii="Times New Roman" w:eastAsia="Times New Roman" w:hAnsi="Times New Roman" w:cs="Times New Roman"/>
          <w:sz w:val="24"/>
          <w:highlight w:val="white"/>
        </w:rPr>
        <w:t>t likely to receive patent protection would be one who had foreign DNA that coded for some specific benefit(s) artificially introduced before fertilization. This would present a slew of intellectual property issues. For example,  should a child claimed und</w:t>
      </w:r>
      <w:r>
        <w:rPr>
          <w:rFonts w:ascii="Times New Roman" w:eastAsia="Times New Roman" w:hAnsi="Times New Roman" w:cs="Times New Roman"/>
          <w:sz w:val="24"/>
          <w:highlight w:val="white"/>
        </w:rPr>
        <w:t>er this patent choose to procreate before the patent term expiration, the patented genetic material passed down to the subsequent child would be impermissibly copied and transmitted. This, however, would severely limit the patented individual’s most  preci</w:t>
      </w:r>
      <w:r>
        <w:rPr>
          <w:rFonts w:ascii="Times New Roman" w:eastAsia="Times New Roman" w:hAnsi="Times New Roman" w:cs="Times New Roman"/>
          <w:sz w:val="24"/>
          <w:highlight w:val="white"/>
        </w:rPr>
        <w:t xml:space="preserve">ous right to procreate. Thus, Congress would likely have to engage in a careful analysis of the benefits and risks associated with the grant of such a patent, much like the EPO did with its utilitarian analysis of the Harvard </w:t>
      </w:r>
      <w:proofErr w:type="spellStart"/>
      <w:r>
        <w:rPr>
          <w:rFonts w:ascii="Times New Roman" w:eastAsia="Times New Roman" w:hAnsi="Times New Roman" w:cs="Times New Roman"/>
          <w:sz w:val="24"/>
          <w:highlight w:val="white"/>
        </w:rPr>
        <w:t>oncomouse</w:t>
      </w:r>
      <w:proofErr w:type="spellEnd"/>
      <w:r>
        <w:rPr>
          <w:rFonts w:ascii="Times New Roman" w:eastAsia="Times New Roman" w:hAnsi="Times New Roman" w:cs="Times New Roman"/>
          <w:sz w:val="24"/>
          <w:highlight w:val="white"/>
        </w:rPr>
        <w:t xml:space="preserve">. </w:t>
      </w:r>
    </w:p>
    <w:p w:rsidR="00CC1390" w:rsidRDefault="00CC1390">
      <w:pPr>
        <w:pStyle w:val="normal0"/>
      </w:pPr>
    </w:p>
    <w:p w:rsidR="00CC1390" w:rsidRDefault="00F67470">
      <w:pPr>
        <w:pStyle w:val="normal0"/>
        <w:numPr>
          <w:ilvl w:val="0"/>
          <w:numId w:val="3"/>
        </w:numPr>
        <w:ind w:hanging="359"/>
        <w:contextualSpacing/>
        <w:rPr>
          <w:rFonts w:ascii="Times New Roman" w:eastAsia="Times New Roman" w:hAnsi="Times New Roman" w:cs="Times New Roman"/>
          <w:b/>
          <w:sz w:val="24"/>
        </w:rPr>
      </w:pPr>
      <w:r>
        <w:rPr>
          <w:rFonts w:ascii="Times New Roman" w:eastAsia="Times New Roman" w:hAnsi="Times New Roman" w:cs="Times New Roman"/>
          <w:b/>
          <w:sz w:val="24"/>
          <w:u w:val="single"/>
        </w:rPr>
        <w:t>IF MORAL REPUGNAN</w:t>
      </w:r>
      <w:r>
        <w:rPr>
          <w:rFonts w:ascii="Times New Roman" w:eastAsia="Times New Roman" w:hAnsi="Times New Roman" w:cs="Times New Roman"/>
          <w:b/>
          <w:sz w:val="24"/>
          <w:u w:val="single"/>
        </w:rPr>
        <w:t>CE IS THE ONLY BARRIER TO SUCH PATENTS, IT IS A THIN BARRIER SUSCEPTIBLE TO EROSION.</w:t>
      </w:r>
    </w:p>
    <w:p w:rsidR="00CC1390" w:rsidRDefault="00CC1390">
      <w:pPr>
        <w:pStyle w:val="normal0"/>
      </w:pPr>
    </w:p>
    <w:p w:rsidR="00CC1390" w:rsidRDefault="00F67470">
      <w:pPr>
        <w:pStyle w:val="normal0"/>
        <w:ind w:firstLine="720"/>
      </w:pPr>
      <w:r>
        <w:rPr>
          <w:rFonts w:ascii="Times New Roman" w:eastAsia="Times New Roman" w:hAnsi="Times New Roman" w:cs="Times New Roman"/>
          <w:sz w:val="24"/>
        </w:rPr>
        <w:t>Additionally, if moral repugnance is the only barrier to such patent protection, it is a thin barrier that is particularly susceptible to erosion. As exemplified by the d</w:t>
      </w:r>
      <w:r>
        <w:rPr>
          <w:rFonts w:ascii="Times New Roman" w:eastAsia="Times New Roman" w:hAnsi="Times New Roman" w:cs="Times New Roman"/>
          <w:sz w:val="24"/>
        </w:rPr>
        <w:t xml:space="preserve">ecisions in </w:t>
      </w:r>
      <w:proofErr w:type="spellStart"/>
      <w:r>
        <w:rPr>
          <w:rFonts w:ascii="Times New Roman" w:eastAsia="Times New Roman" w:hAnsi="Times New Roman" w:cs="Times New Roman"/>
          <w:i/>
          <w:sz w:val="24"/>
        </w:rPr>
        <w:t>Chakrabarty</w:t>
      </w:r>
      <w:proofErr w:type="spellEnd"/>
      <w:r>
        <w:rPr>
          <w:rFonts w:ascii="Times New Roman" w:eastAsia="Times New Roman" w:hAnsi="Times New Roman" w:cs="Times New Roman"/>
          <w:sz w:val="24"/>
        </w:rPr>
        <w:t xml:space="preserve"> and </w:t>
      </w:r>
      <w:r>
        <w:rPr>
          <w:rFonts w:ascii="Times New Roman" w:eastAsia="Times New Roman" w:hAnsi="Times New Roman" w:cs="Times New Roman"/>
          <w:i/>
          <w:sz w:val="24"/>
        </w:rPr>
        <w:t>Ex parte Allen</w:t>
      </w:r>
      <w:r>
        <w:rPr>
          <w:rFonts w:ascii="Times New Roman" w:eastAsia="Times New Roman" w:hAnsi="Times New Roman" w:cs="Times New Roman"/>
          <w:sz w:val="24"/>
        </w:rPr>
        <w:t>, the USPTO and the Supreme Court gave no heed to the moral repugnance argument of patenting of higher order organisms, including animals. Transgenic animals are routinely subjected to pain and suffering for the betterment of  medical research. It could be</w:t>
      </w:r>
      <w:r>
        <w:rPr>
          <w:rFonts w:ascii="Times New Roman" w:eastAsia="Times New Roman" w:hAnsi="Times New Roman" w:cs="Times New Roman"/>
          <w:sz w:val="24"/>
        </w:rPr>
        <w:t xml:space="preserve"> easy then, to imagine a company sidestepping even the issue of pain and suffering by developing a transgenic human organism that is effectively </w:t>
      </w:r>
      <w:proofErr w:type="spellStart"/>
      <w:r>
        <w:rPr>
          <w:rFonts w:ascii="Times New Roman" w:eastAsia="Times New Roman" w:hAnsi="Times New Roman" w:cs="Times New Roman"/>
          <w:sz w:val="24"/>
        </w:rPr>
        <w:t>braindead</w:t>
      </w:r>
      <w:proofErr w:type="spellEnd"/>
      <w:r>
        <w:rPr>
          <w:rFonts w:ascii="Times New Roman" w:eastAsia="Times New Roman" w:hAnsi="Times New Roman" w:cs="Times New Roman"/>
          <w:sz w:val="24"/>
        </w:rPr>
        <w:t xml:space="preserve"> or just merely a husk that developed organs necessary for medical research testing on humans. These h</w:t>
      </w:r>
      <w:r>
        <w:rPr>
          <w:rFonts w:ascii="Times New Roman" w:eastAsia="Times New Roman" w:hAnsi="Times New Roman" w:cs="Times New Roman"/>
          <w:sz w:val="24"/>
        </w:rPr>
        <w:t xml:space="preserve">uman test subjects would not feel pain and could effectively be treated as not some lesser sort of human organism that is entitled to patent protection in line with the principles outlined by the Supreme Court and the USPTO. </w:t>
      </w:r>
    </w:p>
    <w:p w:rsidR="00CC1390" w:rsidRDefault="00F67470">
      <w:pPr>
        <w:pStyle w:val="normal0"/>
        <w:ind w:firstLine="720"/>
      </w:pPr>
      <w:r>
        <w:rPr>
          <w:rFonts w:ascii="Times New Roman" w:eastAsia="Times New Roman" w:hAnsi="Times New Roman" w:cs="Times New Roman"/>
          <w:sz w:val="24"/>
        </w:rPr>
        <w:t>Humans, by evolution, feel and</w:t>
      </w:r>
      <w:r>
        <w:rPr>
          <w:rFonts w:ascii="Times New Roman" w:eastAsia="Times New Roman" w:hAnsi="Times New Roman" w:cs="Times New Roman"/>
          <w:sz w:val="24"/>
        </w:rPr>
        <w:t xml:space="preserve"> react to stimuli the same way most other vertebrates do, including chimpanzees, dogs, and mice. The decision to disregard this fact with respect to higher order mammals only sets the stage for the next logical step of disregarding these concerns with resp</w:t>
      </w:r>
      <w:r>
        <w:rPr>
          <w:rFonts w:ascii="Times New Roman" w:eastAsia="Times New Roman" w:hAnsi="Times New Roman" w:cs="Times New Roman"/>
          <w:sz w:val="24"/>
        </w:rPr>
        <w:t>ect to transgenic human organisms.</w:t>
      </w:r>
    </w:p>
    <w:p w:rsidR="00CC1390" w:rsidRDefault="00CC1390">
      <w:pPr>
        <w:pStyle w:val="normal0"/>
        <w:ind w:firstLine="720"/>
      </w:pPr>
    </w:p>
    <w:p w:rsidR="00CC1390" w:rsidRDefault="00CC1390">
      <w:pPr>
        <w:pStyle w:val="normal0"/>
      </w:pPr>
    </w:p>
    <w:p w:rsidR="00CC1390" w:rsidRDefault="00CC1390">
      <w:pPr>
        <w:pStyle w:val="normal0"/>
      </w:pPr>
    </w:p>
    <w:p w:rsidR="00CC1390" w:rsidRDefault="00CC1390">
      <w:pPr>
        <w:pStyle w:val="normal0"/>
      </w:pPr>
    </w:p>
    <w:p w:rsidR="00CC1390" w:rsidRDefault="00CC1390">
      <w:pPr>
        <w:pStyle w:val="normal0"/>
      </w:pPr>
    </w:p>
    <w:sectPr w:rsidR="00CC139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470">
      <w:pPr>
        <w:spacing w:line="240" w:lineRule="auto"/>
      </w:pPr>
      <w:r>
        <w:separator/>
      </w:r>
    </w:p>
  </w:endnote>
  <w:endnote w:type="continuationSeparator" w:id="0">
    <w:p w:rsidR="00000000" w:rsidRDefault="00F674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470">
      <w:pPr>
        <w:spacing w:line="240" w:lineRule="auto"/>
      </w:pPr>
      <w:r>
        <w:separator/>
      </w:r>
    </w:p>
  </w:footnote>
  <w:footnote w:type="continuationSeparator" w:id="0">
    <w:p w:rsidR="00000000" w:rsidRDefault="00F67470">
      <w:pPr>
        <w:spacing w:line="240" w:lineRule="auto"/>
      </w:pPr>
      <w:r>
        <w:continuationSeparator/>
      </w:r>
    </w:p>
  </w:footnote>
  <w:footnote w:id="1">
    <w:p w:rsidR="00CC1390" w:rsidRDefault="00F67470">
      <w:pPr>
        <w:pStyle w:val="normal0"/>
        <w:spacing w:line="240" w:lineRule="auto"/>
      </w:pPr>
      <w:r>
        <w:rPr>
          <w:vertAlign w:val="superscript"/>
        </w:rPr>
        <w:footnoteRef/>
      </w:r>
      <w:r>
        <w:rPr>
          <w:rFonts w:ascii="Times New Roman" w:eastAsia="Times New Roman" w:hAnsi="Times New Roman" w:cs="Times New Roman"/>
          <w:sz w:val="20"/>
        </w:rPr>
        <w:t xml:space="preserve">35 U.S.C. </w:t>
      </w:r>
      <w:r>
        <w:rPr>
          <w:rFonts w:ascii="Times New Roman" w:eastAsia="Times New Roman" w:hAnsi="Times New Roman" w:cs="Times New Roman"/>
          <w:sz w:val="20"/>
          <w:highlight w:val="white"/>
        </w:rPr>
        <w:t>§101 (West).</w:t>
      </w:r>
    </w:p>
  </w:footnote>
  <w:footnote w:id="2">
    <w:p w:rsidR="00CC1390" w:rsidRDefault="00F67470">
      <w:pPr>
        <w:pStyle w:val="normal0"/>
        <w:spacing w:line="240" w:lineRule="auto"/>
      </w:pPr>
      <w:r>
        <w:rPr>
          <w:vertAlign w:val="superscript"/>
        </w:rPr>
        <w:footnoteRef/>
      </w:r>
      <w:r>
        <w:rPr>
          <w:rFonts w:ascii="Times New Roman" w:eastAsia="Times New Roman" w:hAnsi="Times New Roman" w:cs="Times New Roman"/>
          <w:sz w:val="20"/>
        </w:rPr>
        <w:t xml:space="preserve"> http://www.uspto.gov/patents/law/exam/101_training_aug2012.pdf</w:t>
      </w:r>
    </w:p>
  </w:footnote>
  <w:footnote w:id="3">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 xml:space="preserve">Diamond v. </w:t>
      </w:r>
      <w:proofErr w:type="spellStart"/>
      <w:r>
        <w:rPr>
          <w:rFonts w:ascii="Times New Roman" w:eastAsia="Times New Roman" w:hAnsi="Times New Roman" w:cs="Times New Roman"/>
          <w:i/>
          <w:sz w:val="20"/>
        </w:rPr>
        <w:t>Chakrabarty</w:t>
      </w:r>
      <w:proofErr w:type="spellEnd"/>
      <w:r>
        <w:rPr>
          <w:rFonts w:ascii="Times New Roman" w:eastAsia="Times New Roman" w:hAnsi="Times New Roman" w:cs="Times New Roman"/>
          <w:sz w:val="20"/>
        </w:rPr>
        <w:t>, 447 U.S. 303 (1980)</w:t>
      </w:r>
    </w:p>
  </w:footnote>
  <w:footnote w:id="4">
    <w:p w:rsidR="00CC1390" w:rsidRDefault="00F67470">
      <w:pPr>
        <w:pStyle w:val="normal0"/>
        <w:spacing w:line="240" w:lineRule="auto"/>
      </w:pPr>
      <w:r>
        <w:rPr>
          <w:vertAlign w:val="superscript"/>
        </w:rPr>
        <w:footnoteRef/>
      </w:r>
      <w:r>
        <w:rPr>
          <w:rFonts w:ascii="Times New Roman" w:eastAsia="Times New Roman" w:hAnsi="Times New Roman" w:cs="Times New Roman"/>
          <w:sz w:val="20"/>
        </w:rPr>
        <w:t xml:space="preserve"> http://www.uspto.gov/patents/law/exam/101_training_aug2012.pdf</w:t>
      </w:r>
    </w:p>
  </w:footnote>
  <w:footnote w:id="5">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xml:space="preserve">, note 3. </w:t>
      </w:r>
    </w:p>
  </w:footnote>
  <w:footnote w:id="6">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1.</w:t>
      </w:r>
    </w:p>
  </w:footnote>
  <w:footnote w:id="7">
    <w:p w:rsidR="00CC1390" w:rsidRDefault="00F67470">
      <w:pPr>
        <w:pStyle w:val="normal0"/>
      </w:pPr>
      <w:r>
        <w:rPr>
          <w:vertAlign w:val="superscript"/>
        </w:rPr>
        <w:footnoteRef/>
      </w:r>
      <w:r>
        <w:rPr>
          <w:sz w:val="20"/>
        </w:rPr>
        <w:t xml:space="preserve"> </w:t>
      </w:r>
      <w:r>
        <w:rPr>
          <w:rFonts w:ascii="Times New Roman" w:eastAsia="Times New Roman" w:hAnsi="Times New Roman" w:cs="Times New Roman"/>
          <w:sz w:val="20"/>
        </w:rPr>
        <w:t>Mayo Collaborative Services v. Prometheus Laboratories, Inc</w:t>
      </w:r>
      <w:r>
        <w:rPr>
          <w:rFonts w:ascii="Times New Roman" w:eastAsia="Times New Roman" w:hAnsi="Times New Roman" w:cs="Times New Roman"/>
          <w:sz w:val="20"/>
          <w:u w:val="single"/>
        </w:rPr>
        <w:t>.</w:t>
      </w:r>
      <w:r>
        <w:rPr>
          <w:rFonts w:ascii="Times New Roman" w:eastAsia="Times New Roman" w:hAnsi="Times New Roman" w:cs="Times New Roman"/>
          <w:sz w:val="20"/>
        </w:rPr>
        <w:t>, 132 S. Ct. 1289, 1290 (2012)</w:t>
      </w:r>
    </w:p>
  </w:footnote>
  <w:footnote w:id="8">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highlight w:val="white"/>
        </w:rPr>
        <w:t xml:space="preserve">Funk Bros. Seed Co. v. </w:t>
      </w:r>
      <w:proofErr w:type="spellStart"/>
      <w:r>
        <w:rPr>
          <w:rFonts w:ascii="Times New Roman" w:eastAsia="Times New Roman" w:hAnsi="Times New Roman" w:cs="Times New Roman"/>
          <w:i/>
          <w:sz w:val="20"/>
          <w:highlight w:val="white"/>
        </w:rPr>
        <w:t>Kalo</w:t>
      </w:r>
      <w:proofErr w:type="spellEnd"/>
      <w:r>
        <w:rPr>
          <w:rFonts w:ascii="Times New Roman" w:eastAsia="Times New Roman" w:hAnsi="Times New Roman" w:cs="Times New Roman"/>
          <w:i/>
          <w:sz w:val="20"/>
          <w:highlight w:val="white"/>
        </w:rPr>
        <w:t xml:space="preserve"> Inoculant Co.</w:t>
      </w:r>
      <w:r>
        <w:rPr>
          <w:rFonts w:ascii="Times New Roman" w:eastAsia="Times New Roman" w:hAnsi="Times New Roman" w:cs="Times New Roman"/>
          <w:sz w:val="20"/>
          <w:highlight w:val="white"/>
        </w:rPr>
        <w:t>, 333 U.S. 127, 130 (1948).</w:t>
      </w:r>
    </w:p>
  </w:footnote>
  <w:footnote w:id="9">
    <w:p w:rsidR="00CC1390" w:rsidRDefault="00F67470">
      <w:pPr>
        <w:pStyle w:val="normal0"/>
        <w:spacing w:line="240" w:lineRule="auto"/>
      </w:pPr>
      <w:r>
        <w:rPr>
          <w:vertAlign w:val="superscript"/>
        </w:rPr>
        <w:footnoteRef/>
      </w:r>
      <w:r>
        <w:rPr>
          <w:sz w:val="20"/>
          <w:vertAlign w:val="superscript"/>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0"/>
        </w:rPr>
        <w:t>USPTO, Comments on USPTO’s Guidance on the Proposed Procedure For Subject Matter Eligibility Analysis Of Claims Reci</w:t>
      </w:r>
      <w:r>
        <w:rPr>
          <w:rFonts w:ascii="Times New Roman" w:eastAsia="Times New Roman" w:hAnsi="Times New Roman" w:cs="Times New Roman"/>
          <w:sz w:val="20"/>
        </w:rPr>
        <w:t xml:space="preserve">ting Or Involving Laws Of  Nature/Natural Principles, Natural Phenomena, </w:t>
      </w:r>
      <w:proofErr w:type="spellStart"/>
      <w:r>
        <w:rPr>
          <w:rFonts w:ascii="Times New Roman" w:eastAsia="Times New Roman" w:hAnsi="Times New Roman" w:cs="Times New Roman"/>
          <w:sz w:val="20"/>
        </w:rPr>
        <w:t>And/Or</w:t>
      </w:r>
      <w:proofErr w:type="spellEnd"/>
      <w:r>
        <w:rPr>
          <w:rFonts w:ascii="Times New Roman" w:eastAsia="Times New Roman" w:hAnsi="Times New Roman" w:cs="Times New Roman"/>
          <w:sz w:val="20"/>
        </w:rPr>
        <w:t xml:space="preserve"> Natural Products  (July 30, 2014), </w:t>
      </w:r>
      <w:r>
        <w:rPr>
          <w:rFonts w:ascii="Times New Roman" w:eastAsia="Times New Roman" w:hAnsi="Times New Roman" w:cs="Times New Roman"/>
          <w:i/>
          <w:sz w:val="20"/>
        </w:rPr>
        <w:t>available at</w:t>
      </w:r>
      <w:r>
        <w:rPr>
          <w:rFonts w:ascii="Times New Roman" w:eastAsia="Times New Roman" w:hAnsi="Times New Roman" w:cs="Times New Roman"/>
          <w:sz w:val="20"/>
        </w:rPr>
        <w:t xml:space="preserve"> http://www.uspto.gov/patents/law/comments/mm-a-cfs20140730.pdf (last accessed September 20, 20</w:t>
      </w:r>
      <w:r>
        <w:rPr>
          <w:rFonts w:ascii="Times New Roman" w:eastAsia="Times New Roman" w:hAnsi="Times New Roman" w:cs="Times New Roman"/>
          <w:sz w:val="16"/>
        </w:rPr>
        <w:t>14)</w:t>
      </w:r>
    </w:p>
  </w:footnote>
  <w:footnote w:id="10">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20"/>
        </w:rPr>
        <w:t>http://www.councilforresponsiblegenetics.org/genewatch/GeneWat</w:t>
      </w:r>
      <w:r>
        <w:rPr>
          <w:rFonts w:ascii="Times New Roman" w:eastAsia="Times New Roman" w:hAnsi="Times New Roman" w:cs="Times New Roman"/>
          <w:sz w:val="20"/>
        </w:rPr>
        <w:t>chPage.aspx?pageId=305</w:t>
      </w:r>
    </w:p>
  </w:footnote>
  <w:footnote w:id="11">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20"/>
        </w:rPr>
        <w:t xml:space="preserve">Lloyd, William Forster, </w:t>
      </w:r>
      <w:r>
        <w:rPr>
          <w:rFonts w:ascii="Times New Roman" w:eastAsia="Times New Roman" w:hAnsi="Times New Roman" w:cs="Times New Roman"/>
          <w:i/>
          <w:sz w:val="20"/>
        </w:rPr>
        <w:t>Two Lectures on Population</w:t>
      </w:r>
      <w:r>
        <w:rPr>
          <w:rFonts w:ascii="Times New Roman" w:eastAsia="Times New Roman" w:hAnsi="Times New Roman" w:cs="Times New Roman"/>
          <w:sz w:val="20"/>
        </w:rPr>
        <w:t xml:space="preserve"> (1833).</w:t>
      </w:r>
    </w:p>
  </w:footnote>
  <w:footnote w:id="12">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9.</w:t>
      </w:r>
    </w:p>
  </w:footnote>
  <w:footnote w:id="13">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p>
  </w:footnote>
  <w:footnote w:id="14">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Assn. for Molecular Pathology v. Myriad Genetics, Inc.</w:t>
      </w:r>
      <w:r>
        <w:rPr>
          <w:rFonts w:ascii="Times New Roman" w:eastAsia="Times New Roman" w:hAnsi="Times New Roman" w:cs="Times New Roman"/>
          <w:sz w:val="20"/>
        </w:rPr>
        <w:t>, 133 S. Ct. 2107, 2109 (2013)</w:t>
      </w:r>
    </w:p>
  </w:footnote>
  <w:footnote w:id="15">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p>
  </w:footnote>
  <w:footnote w:id="16">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p>
  </w:footnote>
  <w:footnote w:id="17">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 xml:space="preserve">Id. </w:t>
      </w:r>
      <w:r>
        <w:rPr>
          <w:rFonts w:ascii="Times New Roman" w:eastAsia="Times New Roman" w:hAnsi="Times New Roman" w:cs="Times New Roman"/>
          <w:sz w:val="20"/>
        </w:rPr>
        <w:t>at 2116</w:t>
      </w:r>
      <w:r>
        <w:rPr>
          <w:sz w:val="20"/>
        </w:rPr>
        <w:t>.</w:t>
      </w:r>
    </w:p>
  </w:footnote>
  <w:footnote w:id="18">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3, at 305, 309-310</w:t>
      </w:r>
      <w:r>
        <w:rPr>
          <w:sz w:val="20"/>
        </w:rPr>
        <w:t>.</w:t>
      </w:r>
    </w:p>
  </w:footnote>
  <w:footnote w:id="19">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p>
  </w:footnote>
  <w:footnote w:id="20">
    <w:p w:rsidR="00CC1390" w:rsidRDefault="00F67470">
      <w:pPr>
        <w:pStyle w:val="normal0"/>
        <w:spacing w:line="240" w:lineRule="auto"/>
      </w:pPr>
      <w:r>
        <w:rPr>
          <w:vertAlign w:val="superscript"/>
        </w:rPr>
        <w:footnoteRef/>
      </w:r>
      <w:r>
        <w:rPr>
          <w:sz w:val="20"/>
        </w:rPr>
        <w:t xml:space="preserve"> </w:t>
      </w:r>
      <w:proofErr w:type="spellStart"/>
      <w:r>
        <w:rPr>
          <w:rFonts w:ascii="Times New Roman" w:eastAsia="Times New Roman" w:hAnsi="Times New Roman" w:cs="Times New Roman"/>
          <w:i/>
          <w:sz w:val="20"/>
        </w:rPr>
        <w:t>Chakrabarty</w:t>
      </w:r>
      <w:proofErr w:type="spellEnd"/>
      <w:r>
        <w:rPr>
          <w:rFonts w:ascii="Times New Roman" w:eastAsia="Times New Roman" w:hAnsi="Times New Roman" w:cs="Times New Roman"/>
          <w:sz w:val="20"/>
        </w:rPr>
        <w:t>, at 306.</w:t>
      </w:r>
    </w:p>
  </w:footnote>
  <w:footnote w:id="21">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r>
        <w:rPr>
          <w:rFonts w:ascii="Times New Roman" w:eastAsia="Times New Roman" w:hAnsi="Times New Roman" w:cs="Times New Roman"/>
          <w:sz w:val="20"/>
        </w:rPr>
        <w:t>, at 309.</w:t>
      </w:r>
    </w:p>
  </w:footnote>
  <w:footnote w:id="22">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r>
        <w:rPr>
          <w:rFonts w:ascii="Times New Roman" w:eastAsia="Times New Roman" w:hAnsi="Times New Roman" w:cs="Times New Roman"/>
          <w:sz w:val="20"/>
        </w:rPr>
        <w:t xml:space="preserve"> at 313.</w:t>
      </w:r>
    </w:p>
  </w:footnote>
  <w:footnote w:id="23">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r>
        <w:rPr>
          <w:rFonts w:ascii="Times New Roman" w:eastAsia="Times New Roman" w:hAnsi="Times New Roman" w:cs="Times New Roman"/>
          <w:sz w:val="20"/>
        </w:rPr>
        <w:t>. at 2211.</w:t>
      </w:r>
    </w:p>
  </w:footnote>
  <w:footnote w:id="24">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16"/>
          <w:highlight w:val="white"/>
        </w:rPr>
        <w:t>E</w:t>
      </w:r>
      <w:r>
        <w:rPr>
          <w:rFonts w:ascii="Times New Roman" w:eastAsia="Times New Roman" w:hAnsi="Times New Roman" w:cs="Times New Roman"/>
          <w:i/>
          <w:sz w:val="16"/>
          <w:highlight w:val="white"/>
        </w:rPr>
        <w:t>x parte Allen,</w:t>
      </w:r>
      <w:r>
        <w:rPr>
          <w:rFonts w:ascii="Times New Roman" w:eastAsia="Times New Roman" w:hAnsi="Times New Roman" w:cs="Times New Roman"/>
          <w:sz w:val="16"/>
          <w:highlight w:val="white"/>
        </w:rPr>
        <w:t xml:space="preserve"> 2 USPQ2d 1425 (Bd. Pat. App. &amp; Inter. 1987)</w:t>
      </w:r>
    </w:p>
  </w:footnote>
  <w:footnote w:id="25">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16"/>
          <w:highlight w:val="white"/>
        </w:rPr>
        <w:t>Animals - Patentability, 1077 O.G. 24, April 21, 1987, http://www.uspto.gov/web/offices/pac/mpep/s2105.html</w:t>
      </w:r>
    </w:p>
  </w:footnote>
  <w:footnote w:id="26">
    <w:p w:rsidR="00CC1390" w:rsidRDefault="00F67470">
      <w:pPr>
        <w:pStyle w:val="normal0"/>
        <w:spacing w:line="240" w:lineRule="auto"/>
      </w:pPr>
      <w:r>
        <w:rPr>
          <w:vertAlign w:val="superscript"/>
        </w:rPr>
        <w:footnoteRef/>
      </w:r>
      <w:r>
        <w:rPr>
          <w:rFonts w:ascii="Times New Roman" w:eastAsia="Times New Roman" w:hAnsi="Times New Roman" w:cs="Times New Roman"/>
          <w:sz w:val="20"/>
        </w:rPr>
        <w:t xml:space="preserve"> http://www.wipo.int/wipo_magazine/en/2006/03/article_0006.html</w:t>
      </w:r>
    </w:p>
  </w:footnote>
  <w:footnote w:id="27">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r>
        <w:rPr>
          <w:rFonts w:ascii="Times New Roman" w:eastAsia="Times New Roman" w:hAnsi="Times New Roman" w:cs="Times New Roman"/>
          <w:sz w:val="20"/>
        </w:rPr>
        <w:t>.</w:t>
      </w:r>
    </w:p>
  </w:footnote>
  <w:footnote w:id="28">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1.</w:t>
      </w:r>
    </w:p>
  </w:footnote>
  <w:footnote w:id="29">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20"/>
          <w:highlight w:val="white"/>
        </w:rPr>
        <w:t>U.S. Patent No. 4,736,866</w:t>
      </w:r>
    </w:p>
  </w:footnote>
  <w:footnote w:id="30">
    <w:p w:rsidR="00CC1390" w:rsidRDefault="00F67470">
      <w:pPr>
        <w:pStyle w:val="normal0"/>
        <w:spacing w:line="240" w:lineRule="auto"/>
      </w:pPr>
      <w:r>
        <w:rPr>
          <w:vertAlign w:val="superscript"/>
        </w:rPr>
        <w:footnoteRef/>
      </w:r>
      <w:r>
        <w:rPr>
          <w:sz w:val="20"/>
        </w:rPr>
        <w:t xml:space="preserve"> http://www.wipo.int/wipo_magazine/en/2006/03/article_0006.html</w:t>
      </w:r>
    </w:p>
  </w:footnote>
  <w:footnote w:id="31">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w:t>
      </w:r>
      <w:r>
        <w:rPr>
          <w:rFonts w:ascii="Times New Roman" w:eastAsia="Times New Roman" w:hAnsi="Times New Roman" w:cs="Times New Roman"/>
          <w:i/>
          <w:sz w:val="20"/>
        </w:rPr>
        <w:t>pra</w:t>
      </w:r>
      <w:r>
        <w:rPr>
          <w:rFonts w:ascii="Times New Roman" w:eastAsia="Times New Roman" w:hAnsi="Times New Roman" w:cs="Times New Roman"/>
          <w:sz w:val="20"/>
        </w:rPr>
        <w:t>, note 26.</w:t>
      </w:r>
    </w:p>
  </w:footnote>
  <w:footnote w:id="32">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27.</w:t>
      </w:r>
    </w:p>
  </w:footnote>
  <w:footnote w:id="33">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3 at 305, 309-310.</w:t>
      </w:r>
    </w:p>
  </w:footnote>
  <w:footnote w:id="34">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20"/>
          <w:highlight w:val="white"/>
        </w:rPr>
        <w:t>Harvard College v. Canada (Commissioner of Patents), 4 SCR 45, 2002 SCC 76 (2002)</w:t>
      </w:r>
    </w:p>
  </w:footnote>
  <w:footnote w:id="35">
    <w:p w:rsidR="00CC1390" w:rsidRDefault="00F67470">
      <w:pPr>
        <w:pStyle w:val="normal0"/>
        <w:spacing w:line="240" w:lineRule="auto"/>
      </w:pPr>
      <w:r>
        <w:rPr>
          <w:vertAlign w:val="superscript"/>
        </w:rPr>
        <w:footnoteRef/>
      </w:r>
      <w:r>
        <w:rPr>
          <w:rFonts w:ascii="Times New Roman" w:eastAsia="Times New Roman" w:hAnsi="Times New Roman" w:cs="Times New Roman"/>
          <w:sz w:val="20"/>
        </w:rPr>
        <w:t xml:space="preserve"> http://www.wipo.int/wipo_magazine/en/2006/03/article_0006.html</w:t>
      </w:r>
    </w:p>
  </w:footnote>
  <w:footnote w:id="36">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31.</w:t>
      </w:r>
    </w:p>
  </w:footnote>
  <w:footnote w:id="37">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r>
        <w:rPr>
          <w:rFonts w:ascii="Times New Roman" w:eastAsia="Times New Roman" w:hAnsi="Times New Roman" w:cs="Times New Roman"/>
          <w:sz w:val="20"/>
        </w:rPr>
        <w:t>.</w:t>
      </w:r>
    </w:p>
  </w:footnote>
  <w:footnote w:id="38">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20"/>
        </w:rPr>
        <w:t xml:space="preserve">http://www.wipo.int/wipo_magazine/en/2006/03/article_0006.html, </w:t>
      </w:r>
      <w:r>
        <w:rPr>
          <w:rFonts w:ascii="Times New Roman" w:eastAsia="Times New Roman" w:hAnsi="Times New Roman" w:cs="Times New Roman"/>
          <w:color w:val="3B3B3B"/>
          <w:sz w:val="20"/>
          <w:shd w:val="clear" w:color="auto" w:fill="FAFAFA"/>
        </w:rPr>
        <w:t xml:space="preserve">Board of Appeal of the European Patent Office, Decision of 6 July 2004, T 315/03 </w:t>
      </w:r>
    </w:p>
  </w:footnote>
  <w:footnote w:id="39">
    <w:p w:rsidR="00CC1390" w:rsidRDefault="00F67470">
      <w:pPr>
        <w:pStyle w:val="normal0"/>
        <w:spacing w:line="240" w:lineRule="auto"/>
      </w:pPr>
      <w:r>
        <w:rPr>
          <w:vertAlign w:val="superscript"/>
        </w:rPr>
        <w:footnoteRef/>
      </w:r>
      <w:r>
        <w:rPr>
          <w:sz w:val="20"/>
        </w:rPr>
        <w:t xml:space="preserve"> http://www.wipo.int/wipo_magazine/en/2006/03/article_0006.html</w:t>
      </w:r>
    </w:p>
  </w:footnote>
  <w:footnote w:id="40">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24</w:t>
      </w:r>
      <w:r>
        <w:rPr>
          <w:sz w:val="20"/>
        </w:rPr>
        <w:t>.</w:t>
      </w:r>
    </w:p>
  </w:footnote>
  <w:footnote w:id="41">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Id</w:t>
      </w:r>
      <w:r>
        <w:rPr>
          <w:rFonts w:ascii="Times New Roman" w:eastAsia="Times New Roman" w:hAnsi="Times New Roman" w:cs="Times New Roman"/>
          <w:sz w:val="20"/>
        </w:rPr>
        <w:t>.</w:t>
      </w:r>
    </w:p>
  </w:footnote>
  <w:footnote w:id="42">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i/>
          <w:sz w:val="20"/>
        </w:rPr>
        <w:t>Supra</w:t>
      </w:r>
      <w:r>
        <w:rPr>
          <w:rFonts w:ascii="Times New Roman" w:eastAsia="Times New Roman" w:hAnsi="Times New Roman" w:cs="Times New Roman"/>
          <w:sz w:val="20"/>
        </w:rPr>
        <w:t>, note 3.</w:t>
      </w:r>
    </w:p>
  </w:footnote>
  <w:footnote w:id="43">
    <w:p w:rsidR="00CC1390" w:rsidRDefault="00F67470">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20"/>
          <w:highlight w:val="white"/>
        </w:rPr>
        <w:t xml:space="preserve">Leahy-Smith America Invents Act (AIA), Pub. L. 112-29, </w:t>
      </w:r>
      <w:hyperlink r:id="rId1" w:anchor="aiasec33limitonissuance">
        <w:r>
          <w:rPr>
            <w:rFonts w:ascii="Times New Roman" w:eastAsia="Times New Roman" w:hAnsi="Times New Roman" w:cs="Times New Roman"/>
            <w:b/>
            <w:color w:val="031D4E"/>
            <w:sz w:val="20"/>
            <w:highlight w:val="white"/>
            <w:u w:val="single"/>
          </w:rPr>
          <w:t>sec. 33(a)</w:t>
        </w:r>
      </w:hyperlink>
      <w:r>
        <w:rPr>
          <w:rFonts w:ascii="Times New Roman" w:eastAsia="Times New Roman" w:hAnsi="Times New Roman" w:cs="Times New Roman"/>
          <w:sz w:val="20"/>
          <w:highlight w:val="white"/>
        </w:rPr>
        <w:t>, 125 Stat. 284,</w:t>
      </w:r>
    </w:p>
  </w:footnote>
  <w:footnote w:id="44">
    <w:p w:rsidR="00CC1390" w:rsidRDefault="00F67470">
      <w:pPr>
        <w:pStyle w:val="normal0"/>
        <w:spacing w:line="240" w:lineRule="auto"/>
      </w:pPr>
      <w:r>
        <w:rPr>
          <w:vertAlign w:val="superscript"/>
        </w:rPr>
        <w:footnoteRef/>
      </w:r>
      <w:r>
        <w:rPr>
          <w:sz w:val="24"/>
          <w:vertAlign w:val="superscript"/>
        </w:rPr>
        <w:t xml:space="preserve"> </w:t>
      </w:r>
      <w:r>
        <w:rPr>
          <w:rFonts w:ascii="Times New Roman" w:eastAsia="Times New Roman" w:hAnsi="Times New Roman" w:cs="Times New Roman"/>
          <w:i/>
          <w:sz w:val="36"/>
          <w:vertAlign w:val="superscript"/>
        </w:rPr>
        <w:t>Supra</w:t>
      </w:r>
      <w:r>
        <w:rPr>
          <w:rFonts w:ascii="Times New Roman" w:eastAsia="Times New Roman" w:hAnsi="Times New Roman" w:cs="Times New Roman"/>
          <w:sz w:val="36"/>
          <w:vertAlign w:val="superscript"/>
        </w:rPr>
        <w:t xml:space="preserve"> note 3.</w:t>
      </w:r>
    </w:p>
  </w:footnote>
  <w:footnote w:id="45">
    <w:p w:rsidR="00CC1390" w:rsidRDefault="00F67470">
      <w:pPr>
        <w:pStyle w:val="normal0"/>
        <w:spacing w:line="240" w:lineRule="auto"/>
      </w:pPr>
      <w:r>
        <w:rPr>
          <w:vertAlign w:val="superscript"/>
        </w:rPr>
        <w:footnoteRef/>
      </w:r>
      <w:r>
        <w:rPr>
          <w:sz w:val="20"/>
          <w:vertAlign w:val="superscript"/>
        </w:rPr>
        <w:t xml:space="preserve">   </w:t>
      </w:r>
      <w:r>
        <w:rPr>
          <w:rFonts w:ascii="Times New Roman" w:eastAsia="Times New Roman" w:hAnsi="Times New Roman" w:cs="Times New Roman"/>
          <w:sz w:val="36"/>
          <w:vertAlign w:val="superscript"/>
        </w:rPr>
        <w:t>http://www</w:t>
      </w:r>
      <w:r>
        <w:rPr>
          <w:rFonts w:ascii="Times New Roman" w:eastAsia="Times New Roman" w:hAnsi="Times New Roman" w:cs="Times New Roman"/>
          <w:sz w:val="36"/>
          <w:vertAlign w:val="superscript"/>
        </w:rPr>
        <w:t>.genengnews.com/gen-news-highlights/designer-baby-patent-awarded-to-23andme/81248945/</w:t>
      </w:r>
    </w:p>
  </w:footnote>
  <w:footnote w:id="46">
    <w:p w:rsidR="00CC1390" w:rsidRDefault="00F67470">
      <w:pPr>
        <w:pStyle w:val="normal0"/>
        <w:spacing w:line="240" w:lineRule="auto"/>
      </w:pPr>
      <w:r>
        <w:rPr>
          <w:vertAlign w:val="superscript"/>
        </w:rPr>
        <w:footnoteRef/>
      </w:r>
      <w:r>
        <w:rPr>
          <w:sz w:val="20"/>
          <w:vertAlign w:val="superscript"/>
        </w:rPr>
        <w:t xml:space="preserve">  </w:t>
      </w:r>
      <w:r>
        <w:rPr>
          <w:rFonts w:ascii="Times New Roman" w:eastAsia="Times New Roman" w:hAnsi="Times New Roman" w:cs="Times New Roman"/>
          <w:i/>
          <w:sz w:val="36"/>
          <w:vertAlign w:val="superscript"/>
        </w:rPr>
        <w:t>Id.</w:t>
      </w:r>
    </w:p>
  </w:footnote>
  <w:footnote w:id="47">
    <w:p w:rsidR="00CC1390" w:rsidRDefault="00F67470">
      <w:pPr>
        <w:pStyle w:val="normal0"/>
        <w:spacing w:line="240" w:lineRule="auto"/>
      </w:pPr>
      <w:r>
        <w:rPr>
          <w:vertAlign w:val="superscript"/>
        </w:rPr>
        <w:footnoteRef/>
      </w:r>
      <w:r>
        <w:rPr>
          <w:sz w:val="20"/>
          <w:vertAlign w:val="superscript"/>
        </w:rPr>
        <w:t xml:space="preserve">  </w:t>
      </w:r>
      <w:r>
        <w:rPr>
          <w:rFonts w:ascii="Times New Roman" w:eastAsia="Times New Roman" w:hAnsi="Times New Roman" w:cs="Times New Roman"/>
          <w:sz w:val="36"/>
          <w:vertAlign w:val="superscript"/>
        </w:rPr>
        <w:t>http://www.tissuse.com/technology.html</w:t>
      </w:r>
    </w:p>
  </w:footnote>
  <w:footnote w:id="48">
    <w:p w:rsidR="00CC1390" w:rsidRDefault="00F67470">
      <w:pPr>
        <w:pStyle w:val="normal0"/>
        <w:spacing w:line="240" w:lineRule="auto"/>
      </w:pPr>
      <w:r>
        <w:rPr>
          <w:vertAlign w:val="superscript"/>
        </w:rPr>
        <w:footnoteRef/>
      </w:r>
      <w:r>
        <w:rPr>
          <w:sz w:val="20"/>
          <w:vertAlign w:val="superscript"/>
        </w:rPr>
        <w:t xml:space="preserve"> </w:t>
      </w:r>
      <w:r>
        <w:rPr>
          <w:rFonts w:ascii="Times New Roman" w:eastAsia="Times New Roman" w:hAnsi="Times New Roman" w:cs="Times New Roman"/>
          <w:i/>
          <w:sz w:val="36"/>
          <w:vertAlign w:val="superscript"/>
        </w:rPr>
        <w:t>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913"/>
    <w:multiLevelType w:val="multilevel"/>
    <w:tmpl w:val="D8D8689A"/>
    <w:lvl w:ilvl="0">
      <w:start w:val="2"/>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26E175F"/>
    <w:multiLevelType w:val="multilevel"/>
    <w:tmpl w:val="B060E0E4"/>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345E42C6"/>
    <w:multiLevelType w:val="multilevel"/>
    <w:tmpl w:val="DB96A21E"/>
    <w:lvl w:ilvl="0">
      <w:start w:val="2"/>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3">
    <w:nsid w:val="655956E0"/>
    <w:multiLevelType w:val="multilevel"/>
    <w:tmpl w:val="41DCE6AE"/>
    <w:lvl w:ilvl="0">
      <w:start w:val="2"/>
      <w:numFmt w:val="decimal"/>
      <w:lvlText w:val="%1."/>
      <w:lvlJc w:val="right"/>
      <w:pPr>
        <w:ind w:left="2160" w:firstLine="1800"/>
      </w:pPr>
      <w:rPr>
        <w:u w:val="none"/>
      </w:rPr>
    </w:lvl>
    <w:lvl w:ilvl="1">
      <w:start w:val="1"/>
      <w:numFmt w:val="decimal"/>
      <w:lvlText w:val="%1.%2."/>
      <w:lvlJc w:val="right"/>
      <w:pPr>
        <w:ind w:left="2880" w:firstLine="2520"/>
      </w:pPr>
      <w:rPr>
        <w:u w:val="none"/>
      </w:rPr>
    </w:lvl>
    <w:lvl w:ilvl="2">
      <w:start w:val="1"/>
      <w:numFmt w:val="decimal"/>
      <w:lvlText w:val="%1.%2.%3."/>
      <w:lvlJc w:val="right"/>
      <w:pPr>
        <w:ind w:left="3600" w:firstLine="3240"/>
      </w:pPr>
      <w:rPr>
        <w:u w:val="none"/>
      </w:rPr>
    </w:lvl>
    <w:lvl w:ilvl="3">
      <w:start w:val="1"/>
      <w:numFmt w:val="decimal"/>
      <w:lvlText w:val="%1.%2.%3.%4."/>
      <w:lvlJc w:val="right"/>
      <w:pPr>
        <w:ind w:left="4320" w:firstLine="3960"/>
      </w:pPr>
      <w:rPr>
        <w:u w:val="none"/>
      </w:rPr>
    </w:lvl>
    <w:lvl w:ilvl="4">
      <w:start w:val="1"/>
      <w:numFmt w:val="decimal"/>
      <w:lvlText w:val="%1.%2.%3.%4.%5."/>
      <w:lvlJc w:val="right"/>
      <w:pPr>
        <w:ind w:left="5040" w:firstLine="4680"/>
      </w:pPr>
      <w:rPr>
        <w:u w:val="none"/>
      </w:rPr>
    </w:lvl>
    <w:lvl w:ilvl="5">
      <w:start w:val="1"/>
      <w:numFmt w:val="decimal"/>
      <w:lvlText w:val="%1.%2.%3.%4.%5.%6."/>
      <w:lvlJc w:val="right"/>
      <w:pPr>
        <w:ind w:left="5760" w:firstLine="5400"/>
      </w:pPr>
      <w:rPr>
        <w:u w:val="none"/>
      </w:rPr>
    </w:lvl>
    <w:lvl w:ilvl="6">
      <w:start w:val="1"/>
      <w:numFmt w:val="decimal"/>
      <w:lvlText w:val="%1.%2.%3.%4.%5.%6.%7."/>
      <w:lvlJc w:val="right"/>
      <w:pPr>
        <w:ind w:left="6480" w:firstLine="6120"/>
      </w:pPr>
      <w:rPr>
        <w:u w:val="none"/>
      </w:rPr>
    </w:lvl>
    <w:lvl w:ilvl="7">
      <w:start w:val="1"/>
      <w:numFmt w:val="decimal"/>
      <w:lvlText w:val="%1.%2.%3.%4.%5.%6.%7.%8."/>
      <w:lvlJc w:val="right"/>
      <w:pPr>
        <w:ind w:left="7200" w:firstLine="6840"/>
      </w:pPr>
      <w:rPr>
        <w:u w:val="none"/>
      </w:rPr>
    </w:lvl>
    <w:lvl w:ilvl="8">
      <w:start w:val="1"/>
      <w:numFmt w:val="decimal"/>
      <w:lvlText w:val="%1.%2.%3.%4.%5.%6.%7.%8.%9."/>
      <w:lvlJc w:val="right"/>
      <w:pPr>
        <w:ind w:left="7920" w:firstLine="7560"/>
      </w:pPr>
      <w:rPr>
        <w:u w:val="none"/>
      </w:rPr>
    </w:lvl>
  </w:abstractNum>
  <w:abstractNum w:abstractNumId="4">
    <w:nsid w:val="6A226E71"/>
    <w:multiLevelType w:val="multilevel"/>
    <w:tmpl w:val="657CD09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77F13171"/>
    <w:multiLevelType w:val="multilevel"/>
    <w:tmpl w:val="EB78F0D2"/>
    <w:lvl w:ilvl="0">
      <w:start w:val="1"/>
      <w:numFmt w:val="decimal"/>
      <w:lvlText w:val="%1."/>
      <w:lvlJc w:val="right"/>
      <w:pPr>
        <w:ind w:left="2160" w:firstLine="1800"/>
      </w:pPr>
      <w:rPr>
        <w:u w:val="none"/>
      </w:rPr>
    </w:lvl>
    <w:lvl w:ilvl="1">
      <w:start w:val="1"/>
      <w:numFmt w:val="decimal"/>
      <w:lvlText w:val="%1.%2."/>
      <w:lvlJc w:val="right"/>
      <w:pPr>
        <w:ind w:left="2880" w:firstLine="2520"/>
      </w:pPr>
      <w:rPr>
        <w:u w:val="none"/>
      </w:rPr>
    </w:lvl>
    <w:lvl w:ilvl="2">
      <w:start w:val="1"/>
      <w:numFmt w:val="decimal"/>
      <w:lvlText w:val="%1.%2.%3."/>
      <w:lvlJc w:val="right"/>
      <w:pPr>
        <w:ind w:left="3600" w:firstLine="3240"/>
      </w:pPr>
      <w:rPr>
        <w:u w:val="none"/>
      </w:rPr>
    </w:lvl>
    <w:lvl w:ilvl="3">
      <w:start w:val="1"/>
      <w:numFmt w:val="decimal"/>
      <w:lvlText w:val="%1.%2.%3.%4."/>
      <w:lvlJc w:val="right"/>
      <w:pPr>
        <w:ind w:left="4320" w:firstLine="3960"/>
      </w:pPr>
      <w:rPr>
        <w:u w:val="none"/>
      </w:rPr>
    </w:lvl>
    <w:lvl w:ilvl="4">
      <w:start w:val="1"/>
      <w:numFmt w:val="decimal"/>
      <w:lvlText w:val="%1.%2.%3.%4.%5."/>
      <w:lvlJc w:val="right"/>
      <w:pPr>
        <w:ind w:left="5040" w:firstLine="4680"/>
      </w:pPr>
      <w:rPr>
        <w:u w:val="none"/>
      </w:rPr>
    </w:lvl>
    <w:lvl w:ilvl="5">
      <w:start w:val="1"/>
      <w:numFmt w:val="decimal"/>
      <w:lvlText w:val="%1.%2.%3.%4.%5.%6."/>
      <w:lvlJc w:val="right"/>
      <w:pPr>
        <w:ind w:left="5760" w:firstLine="5400"/>
      </w:pPr>
      <w:rPr>
        <w:u w:val="none"/>
      </w:rPr>
    </w:lvl>
    <w:lvl w:ilvl="6">
      <w:start w:val="1"/>
      <w:numFmt w:val="decimal"/>
      <w:lvlText w:val="%1.%2.%3.%4.%5.%6.%7."/>
      <w:lvlJc w:val="right"/>
      <w:pPr>
        <w:ind w:left="6480" w:firstLine="6120"/>
      </w:pPr>
      <w:rPr>
        <w:u w:val="none"/>
      </w:rPr>
    </w:lvl>
    <w:lvl w:ilvl="7">
      <w:start w:val="1"/>
      <w:numFmt w:val="decimal"/>
      <w:lvlText w:val="%1.%2.%3.%4.%5.%6.%7.%8."/>
      <w:lvlJc w:val="right"/>
      <w:pPr>
        <w:ind w:left="7200" w:firstLine="6840"/>
      </w:pPr>
      <w:rPr>
        <w:u w:val="none"/>
      </w:rPr>
    </w:lvl>
    <w:lvl w:ilvl="8">
      <w:start w:val="1"/>
      <w:numFmt w:val="decimal"/>
      <w:lvlText w:val="%1.%2.%3.%4.%5.%6.%7.%8.%9."/>
      <w:lvlJc w:val="right"/>
      <w:pPr>
        <w:ind w:left="7920" w:firstLine="7560"/>
      </w:pPr>
      <w:rPr>
        <w:u w:val="none"/>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C1390"/>
    <w:rsid w:val="00CC1390"/>
    <w:rsid w:val="00F6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spto.gov/web/offices/pac/mpep/mpep-9015-appx-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3553</Words>
  <Characters>20258</Characters>
  <Application>Microsoft Macintosh Word</Application>
  <DocSecurity>0</DocSecurity>
  <Lines>168</Lines>
  <Paragraphs>47</Paragraphs>
  <ScaleCrop>false</ScaleCrop>
  <Company>School of Law, Santa Clara University</Company>
  <LinksUpToDate>false</LinksUpToDate>
  <CharactersWithSpaces>23764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SAWR Outline.docx</dc:title>
  <cp:lastModifiedBy>David Friedman</cp:lastModifiedBy>
  <cp:revision>2</cp:revision>
  <dcterms:created xsi:type="dcterms:W3CDTF">2014-10-27T03:46:00Z</dcterms:created>
  <dcterms:modified xsi:type="dcterms:W3CDTF">2014-10-27T03:46:00Z</dcterms:modified>
</cp:coreProperties>
</file>