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247A4" w14:textId="77777777" w:rsidR="00F76F0B" w:rsidRPr="00F76F0B" w:rsidRDefault="00F76F0B" w:rsidP="00F76F0B">
      <w:pPr>
        <w:jc w:val="center"/>
        <w:rPr>
          <w:rFonts w:ascii="Times New Roman" w:hAnsi="Times New Roman" w:cs="Times New Roman"/>
        </w:rPr>
      </w:pPr>
    </w:p>
    <w:p w14:paraId="05635951" w14:textId="77777777" w:rsidR="00F76F0B" w:rsidRPr="00F76F0B" w:rsidRDefault="00F76F0B" w:rsidP="00F76F0B">
      <w:pPr>
        <w:jc w:val="center"/>
        <w:rPr>
          <w:rFonts w:ascii="Times New Roman" w:hAnsi="Times New Roman" w:cs="Times New Roman"/>
        </w:rPr>
      </w:pPr>
    </w:p>
    <w:p w14:paraId="4F6619EB" w14:textId="77777777" w:rsidR="00F76F0B" w:rsidRPr="00F76F0B" w:rsidRDefault="00F76F0B" w:rsidP="00F76F0B">
      <w:pPr>
        <w:jc w:val="center"/>
        <w:rPr>
          <w:rFonts w:ascii="Times New Roman" w:hAnsi="Times New Roman" w:cs="Times New Roman"/>
        </w:rPr>
      </w:pPr>
    </w:p>
    <w:p w14:paraId="1AFD2DA1" w14:textId="77777777" w:rsidR="00F76F0B" w:rsidRPr="00F76F0B" w:rsidRDefault="00F76F0B" w:rsidP="00F76F0B">
      <w:pPr>
        <w:jc w:val="center"/>
        <w:rPr>
          <w:rFonts w:ascii="Times New Roman" w:hAnsi="Times New Roman" w:cs="Times New Roman"/>
        </w:rPr>
      </w:pPr>
    </w:p>
    <w:p w14:paraId="7DCC4A7B" w14:textId="77777777" w:rsidR="00F76F0B" w:rsidRPr="00F76F0B" w:rsidRDefault="00F76F0B" w:rsidP="00F76F0B">
      <w:pPr>
        <w:jc w:val="center"/>
        <w:rPr>
          <w:rFonts w:ascii="Times New Roman" w:hAnsi="Times New Roman" w:cs="Times New Roman"/>
        </w:rPr>
      </w:pPr>
    </w:p>
    <w:p w14:paraId="21525E73" w14:textId="77777777" w:rsidR="00F76F0B" w:rsidRPr="00F76F0B" w:rsidRDefault="00F76F0B" w:rsidP="00F76F0B">
      <w:pPr>
        <w:jc w:val="center"/>
        <w:rPr>
          <w:rFonts w:ascii="Times New Roman" w:hAnsi="Times New Roman" w:cs="Times New Roman"/>
        </w:rPr>
      </w:pPr>
    </w:p>
    <w:p w14:paraId="6FFE2EBA" w14:textId="77777777" w:rsidR="00F76F0B" w:rsidRPr="00F76F0B" w:rsidRDefault="00F76F0B" w:rsidP="00F76F0B">
      <w:pPr>
        <w:jc w:val="center"/>
        <w:rPr>
          <w:rFonts w:ascii="Times New Roman" w:hAnsi="Times New Roman" w:cs="Times New Roman"/>
        </w:rPr>
      </w:pPr>
    </w:p>
    <w:p w14:paraId="541BAD27" w14:textId="77777777" w:rsidR="00F76F0B" w:rsidRPr="00F76F0B" w:rsidRDefault="00F76F0B" w:rsidP="00A32150">
      <w:pPr>
        <w:rPr>
          <w:rFonts w:ascii="Times New Roman" w:hAnsi="Times New Roman" w:cs="Times New Roman"/>
          <w:sz w:val="36"/>
          <w:szCs w:val="36"/>
        </w:rPr>
      </w:pPr>
    </w:p>
    <w:p w14:paraId="1CBE7AC0" w14:textId="77777777" w:rsidR="00A32150" w:rsidRPr="00F76F0B" w:rsidRDefault="00A32150" w:rsidP="00A32150">
      <w:pPr>
        <w:jc w:val="center"/>
        <w:rPr>
          <w:rFonts w:ascii="Times New Roman" w:hAnsi="Times New Roman" w:cs="Times New Roman"/>
          <w:b/>
          <w:sz w:val="36"/>
          <w:szCs w:val="36"/>
        </w:rPr>
      </w:pPr>
    </w:p>
    <w:p w14:paraId="5277E1DA" w14:textId="261E20F8" w:rsidR="00A32150" w:rsidRPr="00CD602A" w:rsidRDefault="00A32150" w:rsidP="00A32150">
      <w:pPr>
        <w:jc w:val="center"/>
        <w:rPr>
          <w:rFonts w:ascii="Times New Roman" w:hAnsi="Times New Roman" w:cs="Times New Roman"/>
          <w:sz w:val="32"/>
          <w:szCs w:val="32"/>
        </w:rPr>
      </w:pPr>
      <w:r w:rsidRPr="00CD602A">
        <w:rPr>
          <w:rFonts w:ascii="Times New Roman" w:hAnsi="Times New Roman" w:cs="Times New Roman"/>
          <w:sz w:val="32"/>
          <w:szCs w:val="32"/>
        </w:rPr>
        <w:t xml:space="preserve">An Analysis of Injunctive Relief in the Patent Space: </w:t>
      </w:r>
    </w:p>
    <w:p w14:paraId="5C205AAF" w14:textId="77777777" w:rsidR="00A32150" w:rsidRPr="00CD602A" w:rsidRDefault="00A32150" w:rsidP="00A32150">
      <w:pPr>
        <w:jc w:val="center"/>
        <w:rPr>
          <w:rFonts w:ascii="Times New Roman" w:hAnsi="Times New Roman" w:cs="Times New Roman"/>
          <w:sz w:val="32"/>
          <w:szCs w:val="32"/>
        </w:rPr>
      </w:pPr>
    </w:p>
    <w:p w14:paraId="6CE3A07C" w14:textId="77777777" w:rsidR="00A32150" w:rsidRPr="00CD602A" w:rsidRDefault="00A32150" w:rsidP="00A32150">
      <w:pPr>
        <w:jc w:val="center"/>
        <w:rPr>
          <w:rFonts w:ascii="Times New Roman" w:hAnsi="Times New Roman" w:cs="Times New Roman"/>
          <w:sz w:val="32"/>
          <w:szCs w:val="32"/>
        </w:rPr>
      </w:pPr>
      <w:r w:rsidRPr="00CD602A">
        <w:rPr>
          <w:rFonts w:ascii="Times New Roman" w:hAnsi="Times New Roman" w:cs="Times New Roman"/>
          <w:sz w:val="32"/>
          <w:szCs w:val="32"/>
        </w:rPr>
        <w:t xml:space="preserve">How eBay v. MercExchange (and </w:t>
      </w:r>
    </w:p>
    <w:p w14:paraId="6043DA64" w14:textId="29600179" w:rsidR="00A32150" w:rsidRPr="00CD602A" w:rsidRDefault="00A32150" w:rsidP="00A32150">
      <w:pPr>
        <w:jc w:val="center"/>
        <w:rPr>
          <w:rFonts w:ascii="Times New Roman" w:hAnsi="Times New Roman" w:cs="Times New Roman"/>
          <w:sz w:val="32"/>
          <w:szCs w:val="32"/>
        </w:rPr>
      </w:pPr>
      <w:r w:rsidRPr="00CD602A">
        <w:rPr>
          <w:rFonts w:ascii="Times New Roman" w:hAnsi="Times New Roman" w:cs="Times New Roman"/>
          <w:sz w:val="32"/>
          <w:szCs w:val="32"/>
        </w:rPr>
        <w:t>Apple v. Samsung</w:t>
      </w:r>
      <w:r w:rsidR="0081184B">
        <w:rPr>
          <w:rFonts w:ascii="Times New Roman" w:hAnsi="Times New Roman" w:cs="Times New Roman"/>
          <w:sz w:val="32"/>
          <w:szCs w:val="32"/>
        </w:rPr>
        <w:t>)</w:t>
      </w:r>
      <w:r w:rsidR="001367AF">
        <w:rPr>
          <w:rStyle w:val="FootnoteReference"/>
          <w:rFonts w:ascii="Times New Roman" w:hAnsi="Times New Roman" w:cs="Times New Roman"/>
          <w:sz w:val="32"/>
          <w:szCs w:val="32"/>
        </w:rPr>
        <w:footnoteReference w:id="1"/>
      </w:r>
      <w:r w:rsidR="0081184B">
        <w:rPr>
          <w:rFonts w:ascii="Times New Roman" w:hAnsi="Times New Roman" w:cs="Times New Roman"/>
          <w:sz w:val="32"/>
          <w:szCs w:val="32"/>
        </w:rPr>
        <w:t xml:space="preserve"> Affected the</w:t>
      </w:r>
      <w:r w:rsidRPr="00CD602A">
        <w:rPr>
          <w:rFonts w:ascii="Times New Roman" w:hAnsi="Times New Roman" w:cs="Times New Roman"/>
          <w:sz w:val="32"/>
          <w:szCs w:val="32"/>
        </w:rPr>
        <w:t xml:space="preserve"> Patent </w:t>
      </w:r>
      <w:r w:rsidR="004739E9">
        <w:rPr>
          <w:rFonts w:ascii="Times New Roman" w:hAnsi="Times New Roman" w:cs="Times New Roman"/>
          <w:sz w:val="32"/>
          <w:szCs w:val="32"/>
        </w:rPr>
        <w:t>Space</w:t>
      </w:r>
    </w:p>
    <w:p w14:paraId="44CE9A98" w14:textId="77777777" w:rsidR="00F76F0B" w:rsidRPr="00CD602A" w:rsidRDefault="00F76F0B" w:rsidP="00F76F0B">
      <w:pPr>
        <w:rPr>
          <w:rFonts w:ascii="Times New Roman" w:hAnsi="Times New Roman" w:cs="Times New Roman"/>
          <w:sz w:val="32"/>
          <w:szCs w:val="32"/>
        </w:rPr>
      </w:pPr>
    </w:p>
    <w:p w14:paraId="516F4A8B" w14:textId="77777777" w:rsidR="00F76F0B" w:rsidRPr="00CD602A" w:rsidRDefault="00F76F0B" w:rsidP="00F76F0B">
      <w:pPr>
        <w:jc w:val="center"/>
        <w:rPr>
          <w:rFonts w:ascii="Times New Roman" w:hAnsi="Times New Roman" w:cs="Times New Roman"/>
          <w:sz w:val="32"/>
          <w:szCs w:val="32"/>
        </w:rPr>
      </w:pPr>
    </w:p>
    <w:p w14:paraId="358B876B" w14:textId="77777777" w:rsidR="00F76F0B" w:rsidRPr="00CD602A" w:rsidRDefault="00F76F0B" w:rsidP="00F76F0B">
      <w:pPr>
        <w:jc w:val="center"/>
        <w:rPr>
          <w:rFonts w:ascii="Times New Roman" w:hAnsi="Times New Roman" w:cs="Times New Roman"/>
          <w:sz w:val="32"/>
          <w:szCs w:val="32"/>
        </w:rPr>
      </w:pPr>
    </w:p>
    <w:p w14:paraId="450D8280" w14:textId="77777777" w:rsidR="00F76F0B" w:rsidRPr="00CD602A" w:rsidRDefault="00F76F0B" w:rsidP="00F76F0B">
      <w:pPr>
        <w:jc w:val="center"/>
        <w:rPr>
          <w:rFonts w:ascii="Times New Roman" w:hAnsi="Times New Roman" w:cs="Times New Roman"/>
          <w:sz w:val="32"/>
          <w:szCs w:val="32"/>
        </w:rPr>
      </w:pPr>
    </w:p>
    <w:p w14:paraId="325434B4" w14:textId="77777777" w:rsidR="00F76F0B" w:rsidRPr="00CD602A" w:rsidRDefault="00F76F0B" w:rsidP="00F76F0B">
      <w:pPr>
        <w:jc w:val="center"/>
        <w:rPr>
          <w:rFonts w:ascii="Times New Roman" w:hAnsi="Times New Roman" w:cs="Times New Roman"/>
          <w:sz w:val="32"/>
          <w:szCs w:val="32"/>
        </w:rPr>
      </w:pPr>
    </w:p>
    <w:p w14:paraId="6376ACD0" w14:textId="77777777" w:rsidR="00F76F0B" w:rsidRPr="00CD602A" w:rsidRDefault="00F76F0B" w:rsidP="00F76F0B">
      <w:pPr>
        <w:jc w:val="center"/>
        <w:rPr>
          <w:rFonts w:ascii="Times New Roman" w:hAnsi="Times New Roman" w:cs="Times New Roman"/>
          <w:sz w:val="32"/>
          <w:szCs w:val="32"/>
        </w:rPr>
      </w:pPr>
    </w:p>
    <w:p w14:paraId="0F1A7A66" w14:textId="77777777" w:rsidR="00F76F0B" w:rsidRPr="00CD602A" w:rsidRDefault="00F76F0B" w:rsidP="00A32150">
      <w:pPr>
        <w:rPr>
          <w:rFonts w:ascii="Times New Roman" w:hAnsi="Times New Roman" w:cs="Times New Roman"/>
          <w:sz w:val="32"/>
          <w:szCs w:val="32"/>
        </w:rPr>
      </w:pPr>
    </w:p>
    <w:p w14:paraId="05D65B92" w14:textId="77777777" w:rsidR="00F76F0B" w:rsidRPr="00CD602A" w:rsidRDefault="00F76F0B" w:rsidP="00F76F0B">
      <w:pPr>
        <w:jc w:val="center"/>
        <w:rPr>
          <w:rFonts w:ascii="Times New Roman" w:hAnsi="Times New Roman" w:cs="Times New Roman"/>
          <w:sz w:val="32"/>
          <w:szCs w:val="32"/>
        </w:rPr>
      </w:pPr>
    </w:p>
    <w:p w14:paraId="201032FD" w14:textId="1211D6EF" w:rsidR="00F76F0B" w:rsidRPr="00CD602A" w:rsidRDefault="00F76F0B" w:rsidP="00F76F0B">
      <w:pPr>
        <w:jc w:val="center"/>
        <w:rPr>
          <w:rFonts w:ascii="Times New Roman" w:hAnsi="Times New Roman" w:cs="Times New Roman"/>
          <w:sz w:val="32"/>
          <w:szCs w:val="32"/>
        </w:rPr>
      </w:pPr>
      <w:r w:rsidRPr="00CD602A">
        <w:rPr>
          <w:rFonts w:ascii="Times New Roman" w:hAnsi="Times New Roman" w:cs="Times New Roman"/>
          <w:sz w:val="32"/>
          <w:szCs w:val="32"/>
        </w:rPr>
        <w:t>Bill Jacobs</w:t>
      </w:r>
    </w:p>
    <w:p w14:paraId="627322DA" w14:textId="77777777" w:rsidR="006E653B" w:rsidRPr="00F76F0B" w:rsidRDefault="006E653B">
      <w:pPr>
        <w:rPr>
          <w:rFonts w:ascii="Times New Roman" w:hAnsi="Times New Roman" w:cs="Times New Roman"/>
          <w:sz w:val="36"/>
          <w:szCs w:val="36"/>
        </w:rPr>
      </w:pPr>
    </w:p>
    <w:p w14:paraId="6B3BFB3E" w14:textId="77777777" w:rsidR="006E653B" w:rsidRPr="00F76F0B" w:rsidRDefault="006E653B" w:rsidP="006E653B">
      <w:pPr>
        <w:rPr>
          <w:rFonts w:ascii="Times New Roman" w:hAnsi="Times New Roman" w:cs="Times New Roman"/>
          <w:sz w:val="36"/>
          <w:szCs w:val="36"/>
        </w:rPr>
      </w:pPr>
      <w:r w:rsidRPr="00F76F0B">
        <w:rPr>
          <w:rFonts w:ascii="Times New Roman" w:hAnsi="Times New Roman" w:cs="Times New Roman"/>
          <w:sz w:val="36"/>
          <w:szCs w:val="36"/>
        </w:rPr>
        <w:br w:type="page"/>
      </w:r>
    </w:p>
    <w:p w14:paraId="39469E33" w14:textId="31147361" w:rsidR="00452296" w:rsidRPr="00A32150" w:rsidRDefault="00452296" w:rsidP="006E653B">
      <w:pPr>
        <w:rPr>
          <w:rFonts w:ascii="Times New Roman" w:hAnsi="Times New Roman" w:cs="Times New Roman"/>
          <w:b/>
        </w:rPr>
      </w:pPr>
      <w:r w:rsidRPr="00A32150">
        <w:rPr>
          <w:rFonts w:ascii="Times New Roman" w:hAnsi="Times New Roman" w:cs="Times New Roman"/>
          <w:b/>
        </w:rPr>
        <w:lastRenderedPageBreak/>
        <w:t>Table of contents</w:t>
      </w:r>
    </w:p>
    <w:p w14:paraId="6112F526" w14:textId="77777777" w:rsidR="00F76F0B" w:rsidRPr="00A32150" w:rsidRDefault="00F76F0B" w:rsidP="006E653B">
      <w:pPr>
        <w:rPr>
          <w:rFonts w:ascii="Times New Roman" w:hAnsi="Times New Roman" w:cs="Times New Roman"/>
          <w:b/>
        </w:rPr>
      </w:pPr>
    </w:p>
    <w:p w14:paraId="3C4FEFA9" w14:textId="77777777" w:rsidR="006C5FA1" w:rsidRPr="00A32150" w:rsidRDefault="006C5FA1" w:rsidP="006C5FA1">
      <w:pPr>
        <w:pStyle w:val="ListParagraph"/>
        <w:numPr>
          <w:ilvl w:val="0"/>
          <w:numId w:val="1"/>
        </w:numPr>
        <w:spacing w:line="480" w:lineRule="auto"/>
        <w:rPr>
          <w:rFonts w:ascii="Times New Roman" w:hAnsi="Times New Roman" w:cs="Times New Roman"/>
          <w:b/>
        </w:rPr>
      </w:pPr>
      <w:r w:rsidRPr="00A32150">
        <w:rPr>
          <w:rFonts w:ascii="Times New Roman" w:hAnsi="Times New Roman" w:cs="Times New Roman"/>
          <w:b/>
        </w:rPr>
        <w:t>Introduction</w:t>
      </w:r>
    </w:p>
    <w:p w14:paraId="4B228B2A" w14:textId="77777777" w:rsidR="006C5FA1" w:rsidRPr="00A32150" w:rsidRDefault="006C5FA1" w:rsidP="006C5FA1">
      <w:pPr>
        <w:pStyle w:val="ListParagraph"/>
        <w:numPr>
          <w:ilvl w:val="0"/>
          <w:numId w:val="1"/>
        </w:numPr>
        <w:spacing w:line="480" w:lineRule="auto"/>
        <w:rPr>
          <w:rFonts w:ascii="Times New Roman" w:hAnsi="Times New Roman" w:cs="Times New Roman"/>
          <w:b/>
        </w:rPr>
      </w:pPr>
      <w:r w:rsidRPr="00A32150">
        <w:rPr>
          <w:rFonts w:ascii="Times New Roman" w:hAnsi="Times New Roman" w:cs="Times New Roman"/>
          <w:b/>
        </w:rPr>
        <w:t>Injunctions as a remedy available to a patent-holder</w:t>
      </w:r>
    </w:p>
    <w:p w14:paraId="7A7AF92F" w14:textId="77777777" w:rsidR="006C5FA1" w:rsidRPr="00A32150" w:rsidRDefault="006C5FA1" w:rsidP="006C5FA1">
      <w:pPr>
        <w:pStyle w:val="ListParagraph"/>
        <w:numPr>
          <w:ilvl w:val="0"/>
          <w:numId w:val="1"/>
        </w:numPr>
        <w:spacing w:line="480" w:lineRule="auto"/>
        <w:rPr>
          <w:rFonts w:ascii="Times New Roman" w:eastAsia="Times New Roman" w:hAnsi="Times New Roman" w:cs="Times New Roman"/>
          <w:b/>
        </w:rPr>
      </w:pPr>
      <w:r w:rsidRPr="00A32150">
        <w:rPr>
          <w:rFonts w:ascii="Times New Roman" w:eastAsia="Times New Roman" w:hAnsi="Times New Roman" w:cs="Times New Roman"/>
          <w:b/>
        </w:rPr>
        <w:t>Historic Requirements for Permanent and Preliminary Injunctive Relief</w:t>
      </w:r>
    </w:p>
    <w:p w14:paraId="262A7821" w14:textId="2A0240EC" w:rsidR="006C5FA1" w:rsidRPr="00A32150" w:rsidRDefault="006C5FA1" w:rsidP="006C5FA1">
      <w:pPr>
        <w:pStyle w:val="ListParagraph"/>
        <w:numPr>
          <w:ilvl w:val="0"/>
          <w:numId w:val="1"/>
        </w:numPr>
        <w:spacing w:line="480" w:lineRule="auto"/>
        <w:rPr>
          <w:rFonts w:ascii="Times New Roman" w:eastAsia="Times New Roman" w:hAnsi="Times New Roman" w:cs="Times New Roman"/>
          <w:b/>
        </w:rPr>
      </w:pPr>
      <w:r w:rsidRPr="00A32150">
        <w:rPr>
          <w:rFonts w:ascii="Times New Roman" w:eastAsia="Times New Roman" w:hAnsi="Times New Roman" w:cs="Times New Roman"/>
          <w:b/>
        </w:rPr>
        <w:t>The eBay Case That Would Change the Analysis and Application of Injunctive Relief</w:t>
      </w:r>
      <w:r w:rsidR="00E93EDF" w:rsidRPr="00A32150">
        <w:rPr>
          <w:rFonts w:ascii="Times New Roman" w:eastAsia="Times New Roman" w:hAnsi="Times New Roman" w:cs="Times New Roman"/>
          <w:b/>
        </w:rPr>
        <w:t xml:space="preserve">: </w:t>
      </w:r>
      <w:r w:rsidR="00E93EDF" w:rsidRPr="00A32150">
        <w:rPr>
          <w:rFonts w:ascii="Times New Roman" w:eastAsia="Times New Roman" w:hAnsi="Times New Roman" w:cs="Times New Roman"/>
          <w:b/>
          <w:i/>
        </w:rPr>
        <w:t>eBay v. MercExchange</w:t>
      </w:r>
    </w:p>
    <w:p w14:paraId="6ACA5AD2" w14:textId="77777777" w:rsidR="006C5FA1" w:rsidRPr="00A32150" w:rsidRDefault="006C5FA1" w:rsidP="006C5FA1">
      <w:pPr>
        <w:pStyle w:val="ListParagraph"/>
        <w:numPr>
          <w:ilvl w:val="1"/>
          <w:numId w:val="1"/>
        </w:numPr>
        <w:spacing w:line="480" w:lineRule="auto"/>
        <w:rPr>
          <w:rFonts w:ascii="Times New Roman" w:eastAsia="Times New Roman" w:hAnsi="Times New Roman" w:cs="Times New Roman"/>
          <w:b/>
        </w:rPr>
      </w:pPr>
      <w:r w:rsidRPr="00A32150">
        <w:rPr>
          <w:rFonts w:ascii="Times New Roman" w:eastAsia="Times New Roman" w:hAnsi="Times New Roman" w:cs="Times New Roman"/>
          <w:b/>
        </w:rPr>
        <w:t>A Brief Prosecutorial History of the eBay Case</w:t>
      </w:r>
    </w:p>
    <w:p w14:paraId="746A77F9" w14:textId="6AD7822A" w:rsidR="006C5FA1" w:rsidRPr="00A32150" w:rsidRDefault="006C5FA1" w:rsidP="006C5FA1">
      <w:pPr>
        <w:pStyle w:val="ListParagraph"/>
        <w:numPr>
          <w:ilvl w:val="1"/>
          <w:numId w:val="1"/>
        </w:numPr>
        <w:spacing w:line="480" w:lineRule="auto"/>
        <w:rPr>
          <w:rFonts w:ascii="Times New Roman" w:eastAsia="Times New Roman" w:hAnsi="Times New Roman" w:cs="Times New Roman"/>
          <w:b/>
        </w:rPr>
      </w:pPr>
      <w:r w:rsidRPr="00A32150">
        <w:rPr>
          <w:rFonts w:ascii="Times New Roman" w:eastAsia="Times New Roman" w:hAnsi="Times New Roman" w:cs="Times New Roman"/>
          <w:b/>
        </w:rPr>
        <w:t>Pre-eBay Analysis and Application of Injunctive Relief</w:t>
      </w:r>
    </w:p>
    <w:p w14:paraId="3823DCB7" w14:textId="77777777" w:rsidR="007A4241" w:rsidRPr="00A32150" w:rsidRDefault="006C5FA1" w:rsidP="006C5FA1">
      <w:pPr>
        <w:pStyle w:val="ListParagraph"/>
        <w:numPr>
          <w:ilvl w:val="1"/>
          <w:numId w:val="1"/>
        </w:numPr>
        <w:spacing w:line="480" w:lineRule="auto"/>
        <w:rPr>
          <w:rFonts w:ascii="Times New Roman" w:eastAsia="Times New Roman" w:hAnsi="Times New Roman" w:cs="Times New Roman"/>
          <w:b/>
        </w:rPr>
      </w:pPr>
      <w:r w:rsidRPr="00A32150">
        <w:rPr>
          <w:rFonts w:ascii="Times New Roman" w:eastAsia="Times New Roman" w:hAnsi="Times New Roman" w:cs="Times New Roman"/>
          <w:b/>
        </w:rPr>
        <w:t>The Supreme Court of the United States’ Decision in eBay vs. MercExchange</w:t>
      </w:r>
    </w:p>
    <w:p w14:paraId="2658D274" w14:textId="4A195502" w:rsidR="007A4241" w:rsidRPr="00A32150" w:rsidRDefault="007A4241" w:rsidP="007A4241">
      <w:pPr>
        <w:pStyle w:val="ListParagraph"/>
        <w:numPr>
          <w:ilvl w:val="1"/>
          <w:numId w:val="1"/>
        </w:numPr>
        <w:spacing w:line="480" w:lineRule="auto"/>
        <w:rPr>
          <w:rFonts w:ascii="Times New Roman" w:eastAsia="Times New Roman" w:hAnsi="Times New Roman" w:cs="Times New Roman"/>
          <w:b/>
        </w:rPr>
      </w:pPr>
      <w:r w:rsidRPr="00A32150">
        <w:rPr>
          <w:rFonts w:ascii="Times New Roman" w:eastAsia="Times New Roman" w:hAnsi="Times New Roman" w:cs="Times New Roman"/>
          <w:b/>
        </w:rPr>
        <w:t>Possible Rationale Behind the Supreme Court’s Decision in eBay v. MercExchange</w:t>
      </w:r>
    </w:p>
    <w:p w14:paraId="1975C5BB" w14:textId="52D73D55" w:rsidR="006C5FA1" w:rsidRPr="00A32150" w:rsidRDefault="006C5FA1" w:rsidP="006C5FA1">
      <w:pPr>
        <w:pStyle w:val="ListParagraph"/>
        <w:numPr>
          <w:ilvl w:val="1"/>
          <w:numId w:val="1"/>
        </w:numPr>
        <w:spacing w:line="480" w:lineRule="auto"/>
        <w:rPr>
          <w:rFonts w:ascii="Times New Roman" w:eastAsia="Times New Roman" w:hAnsi="Times New Roman" w:cs="Times New Roman"/>
          <w:b/>
        </w:rPr>
      </w:pPr>
      <w:r w:rsidRPr="00A32150">
        <w:rPr>
          <w:rFonts w:ascii="Times New Roman" w:eastAsia="Times New Roman" w:hAnsi="Times New Roman" w:cs="Times New Roman"/>
          <w:b/>
        </w:rPr>
        <w:t>Injunctive Relief in a Post-eBay World (How eBay Changed the Injunctive Relief Landscape)</w:t>
      </w:r>
    </w:p>
    <w:p w14:paraId="68A2C097" w14:textId="10B64CD5" w:rsidR="006C5FA1" w:rsidRPr="00A32150" w:rsidRDefault="006C5FA1" w:rsidP="006C5FA1">
      <w:pPr>
        <w:pStyle w:val="ListParagraph"/>
        <w:numPr>
          <w:ilvl w:val="0"/>
          <w:numId w:val="1"/>
        </w:numPr>
        <w:spacing w:line="480" w:lineRule="auto"/>
        <w:rPr>
          <w:rFonts w:ascii="Times New Roman" w:hAnsi="Times New Roman" w:cs="Times New Roman"/>
          <w:b/>
          <w:i/>
        </w:rPr>
      </w:pPr>
      <w:r w:rsidRPr="00A32150">
        <w:rPr>
          <w:rFonts w:ascii="Times New Roman" w:hAnsi="Times New Roman" w:cs="Times New Roman"/>
          <w:b/>
          <w:i/>
        </w:rPr>
        <w:t>Apple v. Samsung</w:t>
      </w:r>
      <w:r w:rsidR="0081184B">
        <w:rPr>
          <w:rFonts w:ascii="Times New Roman" w:hAnsi="Times New Roman" w:cs="Times New Roman"/>
          <w:b/>
          <w:i/>
        </w:rPr>
        <w:t xml:space="preserve"> </w:t>
      </w:r>
      <w:r w:rsidR="0081184B">
        <w:rPr>
          <w:rFonts w:ascii="Times New Roman" w:hAnsi="Times New Roman" w:cs="Times New Roman"/>
          <w:b/>
        </w:rPr>
        <w:t>(Will be added in a later draft)</w:t>
      </w:r>
    </w:p>
    <w:p w14:paraId="48DF0CE3" w14:textId="453DE8F5" w:rsidR="007A4241" w:rsidRPr="00A32150" w:rsidRDefault="007A4241" w:rsidP="006C5FA1">
      <w:pPr>
        <w:pStyle w:val="ListParagraph"/>
        <w:numPr>
          <w:ilvl w:val="0"/>
          <w:numId w:val="1"/>
        </w:numPr>
        <w:spacing w:line="480" w:lineRule="auto"/>
        <w:rPr>
          <w:rFonts w:ascii="Times New Roman" w:hAnsi="Times New Roman" w:cs="Times New Roman"/>
          <w:b/>
        </w:rPr>
      </w:pPr>
      <w:r w:rsidRPr="00A32150">
        <w:rPr>
          <w:rFonts w:ascii="Times New Roman" w:hAnsi="Times New Roman" w:cs="Times New Roman"/>
          <w:b/>
        </w:rPr>
        <w:t>Conclusion</w:t>
      </w:r>
    </w:p>
    <w:p w14:paraId="2FFE2E2B" w14:textId="56F7549F" w:rsidR="007A4241" w:rsidRDefault="007A4241" w:rsidP="006C5FA1">
      <w:pPr>
        <w:pStyle w:val="ListParagraph"/>
        <w:numPr>
          <w:ilvl w:val="0"/>
          <w:numId w:val="1"/>
        </w:numPr>
        <w:spacing w:line="480" w:lineRule="auto"/>
        <w:rPr>
          <w:rFonts w:ascii="Times New Roman" w:hAnsi="Times New Roman" w:cs="Times New Roman"/>
          <w:b/>
        </w:rPr>
      </w:pPr>
      <w:r w:rsidRPr="00A32150">
        <w:rPr>
          <w:rFonts w:ascii="Times New Roman" w:hAnsi="Times New Roman" w:cs="Times New Roman"/>
          <w:b/>
        </w:rPr>
        <w:t>Appendix A</w:t>
      </w:r>
    </w:p>
    <w:p w14:paraId="48E57B38" w14:textId="07970342" w:rsidR="00143042" w:rsidRDefault="00143042" w:rsidP="006C5FA1">
      <w:pPr>
        <w:pStyle w:val="ListParagraph"/>
        <w:numPr>
          <w:ilvl w:val="0"/>
          <w:numId w:val="1"/>
        </w:numPr>
        <w:spacing w:line="480" w:lineRule="auto"/>
        <w:rPr>
          <w:rFonts w:ascii="Times New Roman" w:hAnsi="Times New Roman" w:cs="Times New Roman"/>
          <w:b/>
        </w:rPr>
      </w:pPr>
      <w:r>
        <w:rPr>
          <w:rFonts w:ascii="Times New Roman" w:hAnsi="Times New Roman" w:cs="Times New Roman"/>
          <w:b/>
        </w:rPr>
        <w:t>Appendix B</w:t>
      </w:r>
    </w:p>
    <w:p w14:paraId="26B4F7E6" w14:textId="4764A024" w:rsidR="00143042" w:rsidRPr="00A32150" w:rsidRDefault="00143042" w:rsidP="006C5FA1">
      <w:pPr>
        <w:pStyle w:val="ListParagraph"/>
        <w:numPr>
          <w:ilvl w:val="0"/>
          <w:numId w:val="1"/>
        </w:numPr>
        <w:spacing w:line="480" w:lineRule="auto"/>
        <w:rPr>
          <w:rFonts w:ascii="Times New Roman" w:hAnsi="Times New Roman" w:cs="Times New Roman"/>
          <w:b/>
        </w:rPr>
      </w:pPr>
      <w:r>
        <w:rPr>
          <w:rFonts w:ascii="Times New Roman" w:hAnsi="Times New Roman" w:cs="Times New Roman"/>
          <w:b/>
        </w:rPr>
        <w:t>Appendix C</w:t>
      </w:r>
    </w:p>
    <w:p w14:paraId="38D63191" w14:textId="77777777" w:rsidR="00452296" w:rsidRPr="00A32150" w:rsidRDefault="00452296" w:rsidP="0043172A">
      <w:pPr>
        <w:spacing w:line="480" w:lineRule="auto"/>
        <w:rPr>
          <w:rFonts w:ascii="Times New Roman" w:hAnsi="Times New Roman" w:cs="Times New Roman"/>
          <w:b/>
        </w:rPr>
      </w:pPr>
    </w:p>
    <w:p w14:paraId="78A3A3F7" w14:textId="77777777" w:rsidR="00452296" w:rsidRPr="00F76F0B" w:rsidRDefault="00452296">
      <w:pPr>
        <w:rPr>
          <w:rFonts w:ascii="Times New Roman" w:hAnsi="Times New Roman" w:cs="Times New Roman"/>
        </w:rPr>
      </w:pPr>
      <w:r w:rsidRPr="00F76F0B">
        <w:rPr>
          <w:rFonts w:ascii="Times New Roman" w:hAnsi="Times New Roman" w:cs="Times New Roman"/>
        </w:rPr>
        <w:br w:type="page"/>
      </w:r>
    </w:p>
    <w:p w14:paraId="3263AA94" w14:textId="652FDFA5" w:rsidR="001B6B94" w:rsidRPr="00A32150" w:rsidRDefault="001B6B94" w:rsidP="006C5FA1">
      <w:pPr>
        <w:pStyle w:val="ListParagraph"/>
        <w:numPr>
          <w:ilvl w:val="0"/>
          <w:numId w:val="4"/>
        </w:numPr>
        <w:spacing w:line="480" w:lineRule="auto"/>
        <w:rPr>
          <w:rFonts w:ascii="Times New Roman" w:hAnsi="Times New Roman" w:cs="Times New Roman"/>
          <w:b/>
        </w:rPr>
      </w:pPr>
      <w:r w:rsidRPr="00A32150">
        <w:rPr>
          <w:rFonts w:ascii="Times New Roman" w:hAnsi="Times New Roman" w:cs="Times New Roman"/>
          <w:b/>
        </w:rPr>
        <w:t>Introduction</w:t>
      </w:r>
    </w:p>
    <w:p w14:paraId="378C2C58" w14:textId="3C3AED96" w:rsidR="00951D7D" w:rsidRDefault="001B6B94" w:rsidP="0065279F">
      <w:pPr>
        <w:spacing w:line="480" w:lineRule="auto"/>
        <w:ind w:firstLine="720"/>
        <w:rPr>
          <w:rFonts w:ascii="Times New Roman" w:hAnsi="Times New Roman" w:cs="Times New Roman"/>
        </w:rPr>
      </w:pPr>
      <w:r w:rsidRPr="00F76F0B">
        <w:rPr>
          <w:rFonts w:ascii="Times New Roman" w:hAnsi="Times New Roman" w:cs="Times New Roman"/>
        </w:rPr>
        <w:t>This paper will review the application of the four-factor test</w:t>
      </w:r>
      <w:r w:rsidR="00951D7D" w:rsidRPr="00F76F0B">
        <w:rPr>
          <w:rStyle w:val="FootnoteReference"/>
          <w:rFonts w:ascii="Times New Roman" w:hAnsi="Times New Roman" w:cs="Times New Roman"/>
        </w:rPr>
        <w:footnoteReference w:id="2"/>
      </w:r>
      <w:r w:rsidRPr="00F76F0B">
        <w:rPr>
          <w:rFonts w:ascii="Times New Roman" w:hAnsi="Times New Roman" w:cs="Times New Roman"/>
        </w:rPr>
        <w:t xml:space="preserve"> </w:t>
      </w:r>
      <w:r w:rsidR="00EB08BC" w:rsidRPr="00F76F0B">
        <w:rPr>
          <w:rFonts w:ascii="Times New Roman" w:hAnsi="Times New Roman" w:cs="Times New Roman"/>
        </w:rPr>
        <w:t xml:space="preserve">for injunction </w:t>
      </w:r>
      <w:r w:rsidRPr="00F76F0B">
        <w:rPr>
          <w:rFonts w:ascii="Times New Roman" w:hAnsi="Times New Roman" w:cs="Times New Roman"/>
        </w:rPr>
        <w:t xml:space="preserve">in </w:t>
      </w:r>
      <w:r w:rsidR="004348A2" w:rsidRPr="00F76F0B">
        <w:rPr>
          <w:rFonts w:ascii="Times New Roman" w:hAnsi="Times New Roman" w:cs="Times New Roman"/>
        </w:rPr>
        <w:t>patent infringement</w:t>
      </w:r>
      <w:r w:rsidRPr="00F76F0B">
        <w:rPr>
          <w:rFonts w:ascii="Times New Roman" w:hAnsi="Times New Roman" w:cs="Times New Roman"/>
        </w:rPr>
        <w:t xml:space="preserve"> proceedings conducted in </w:t>
      </w:r>
      <w:r w:rsidR="00EB08BC" w:rsidRPr="00F76F0B">
        <w:rPr>
          <w:rFonts w:ascii="Times New Roman" w:hAnsi="Times New Roman" w:cs="Times New Roman"/>
        </w:rPr>
        <w:t>a pre and post eBay</w:t>
      </w:r>
      <w:r w:rsidR="00EB08BC" w:rsidRPr="00F76F0B">
        <w:rPr>
          <w:rStyle w:val="FootnoteReference"/>
          <w:rFonts w:ascii="Times New Roman" w:hAnsi="Times New Roman" w:cs="Times New Roman"/>
        </w:rPr>
        <w:footnoteReference w:id="3"/>
      </w:r>
      <w:r w:rsidR="00EB08BC" w:rsidRPr="00F76F0B">
        <w:rPr>
          <w:rFonts w:ascii="Times New Roman" w:hAnsi="Times New Roman" w:cs="Times New Roman"/>
        </w:rPr>
        <w:t xml:space="preserve"> world</w:t>
      </w:r>
      <w:r w:rsidRPr="00F76F0B">
        <w:rPr>
          <w:rFonts w:ascii="Times New Roman" w:hAnsi="Times New Roman" w:cs="Times New Roman"/>
        </w:rPr>
        <w:t>.</w:t>
      </w:r>
      <w:r w:rsidR="00951D7D" w:rsidRPr="00F76F0B">
        <w:rPr>
          <w:rFonts w:ascii="Times New Roman" w:hAnsi="Times New Roman" w:cs="Times New Roman"/>
        </w:rPr>
        <w:t xml:space="preserve"> It will describe how the four-factor test has been modified and </w:t>
      </w:r>
      <w:r w:rsidR="00975D5E">
        <w:rPr>
          <w:rFonts w:ascii="Times New Roman" w:hAnsi="Times New Roman" w:cs="Times New Roman"/>
        </w:rPr>
        <w:t>rethought since its creation</w:t>
      </w:r>
      <w:r w:rsidR="00951D7D" w:rsidRPr="00F76F0B">
        <w:rPr>
          <w:rFonts w:ascii="Times New Roman" w:hAnsi="Times New Roman" w:cs="Times New Roman"/>
        </w:rPr>
        <w:t>.</w:t>
      </w:r>
      <w:r w:rsidR="00EB08BC" w:rsidRPr="00F76F0B">
        <w:rPr>
          <w:rFonts w:ascii="Times New Roman" w:hAnsi="Times New Roman" w:cs="Times New Roman"/>
        </w:rPr>
        <w:t xml:space="preserve"> It will also analyze the recent court decision in Apple vs. Samsung</w:t>
      </w:r>
      <w:r w:rsidR="0065279F" w:rsidRPr="00F76F0B">
        <w:rPr>
          <w:rStyle w:val="FootnoteReference"/>
          <w:rFonts w:ascii="Times New Roman" w:hAnsi="Times New Roman" w:cs="Times New Roman"/>
        </w:rPr>
        <w:footnoteReference w:id="4"/>
      </w:r>
      <w:r w:rsidR="0065279F" w:rsidRPr="00F76F0B">
        <w:rPr>
          <w:rFonts w:ascii="Times New Roman" w:hAnsi="Times New Roman" w:cs="Times New Roman"/>
        </w:rPr>
        <w:t>,</w:t>
      </w:r>
      <w:r w:rsidR="00EB08BC" w:rsidRPr="00F76F0B">
        <w:rPr>
          <w:rFonts w:ascii="Times New Roman" w:hAnsi="Times New Roman" w:cs="Times New Roman"/>
        </w:rPr>
        <w:t xml:space="preserve"> which will undoubtedly drastically change how injunctive relief in patent </w:t>
      </w:r>
      <w:r w:rsidR="0065279F" w:rsidRPr="00F76F0B">
        <w:rPr>
          <w:rFonts w:ascii="Times New Roman" w:hAnsi="Times New Roman" w:cs="Times New Roman"/>
        </w:rPr>
        <w:t xml:space="preserve">infringement </w:t>
      </w:r>
      <w:r w:rsidR="00EB08BC" w:rsidRPr="00F76F0B">
        <w:rPr>
          <w:rFonts w:ascii="Times New Roman" w:hAnsi="Times New Roman" w:cs="Times New Roman"/>
        </w:rPr>
        <w:t xml:space="preserve">cases is looked </w:t>
      </w:r>
      <w:r w:rsidR="004348A2" w:rsidRPr="00F76F0B">
        <w:rPr>
          <w:rFonts w:ascii="Times New Roman" w:hAnsi="Times New Roman" w:cs="Times New Roman"/>
        </w:rPr>
        <w:t>at in the near future as a form of</w:t>
      </w:r>
      <w:r w:rsidR="0065279F" w:rsidRPr="00F76F0B">
        <w:rPr>
          <w:rFonts w:ascii="Times New Roman" w:hAnsi="Times New Roman" w:cs="Times New Roman"/>
        </w:rPr>
        <w:t xml:space="preserve"> equitable remedy</w:t>
      </w:r>
      <w:r w:rsidR="004348A2" w:rsidRPr="00F76F0B">
        <w:rPr>
          <w:rFonts w:ascii="Times New Roman" w:hAnsi="Times New Roman" w:cs="Times New Roman"/>
        </w:rPr>
        <w:t xml:space="preserve"> available to patent holders</w:t>
      </w:r>
      <w:r w:rsidR="0065279F" w:rsidRPr="00F76F0B">
        <w:rPr>
          <w:rFonts w:ascii="Times New Roman" w:hAnsi="Times New Roman" w:cs="Times New Roman"/>
        </w:rPr>
        <w:t xml:space="preserve">. </w:t>
      </w:r>
    </w:p>
    <w:p w14:paraId="4EAEBD1A" w14:textId="7ECFC2BA" w:rsidR="001B6B94" w:rsidRPr="00F76F0B" w:rsidRDefault="00893687" w:rsidP="0076009D">
      <w:pPr>
        <w:spacing w:line="480" w:lineRule="auto"/>
        <w:ind w:firstLine="720"/>
        <w:rPr>
          <w:rFonts w:ascii="Times New Roman" w:eastAsia="Times New Roman" w:hAnsi="Times New Roman" w:cs="Times New Roman"/>
        </w:rPr>
      </w:pPr>
      <w:r>
        <w:rPr>
          <w:rFonts w:ascii="Times New Roman" w:hAnsi="Times New Roman" w:cs="Times New Roman"/>
        </w:rPr>
        <w:t>Particular care will be given to the topic of the pre-eBay general rule of favoring the granting of injunctions when requested. (Also featured will be the explanation of</w:t>
      </w:r>
      <w:r w:rsidR="0065279F" w:rsidRPr="00F76F0B">
        <w:rPr>
          <w:rFonts w:ascii="Times New Roman" w:hAnsi="Times New Roman" w:cs="Times New Roman"/>
        </w:rPr>
        <w:t xml:space="preserve"> the causal nexus requirement</w:t>
      </w:r>
      <w:r w:rsidR="004348A2" w:rsidRPr="00F76F0B">
        <w:rPr>
          <w:rStyle w:val="FootnoteReference"/>
          <w:rFonts w:ascii="Times New Roman" w:hAnsi="Times New Roman" w:cs="Times New Roman"/>
        </w:rPr>
        <w:footnoteReference w:id="5"/>
      </w:r>
      <w:r w:rsidR="0065279F" w:rsidRPr="00F76F0B">
        <w:rPr>
          <w:rFonts w:ascii="Times New Roman" w:hAnsi="Times New Roman" w:cs="Times New Roman"/>
        </w:rPr>
        <w:t xml:space="preserve"> of injunctive relief and </w:t>
      </w:r>
      <w:r>
        <w:rPr>
          <w:rFonts w:ascii="Times New Roman" w:hAnsi="Times New Roman" w:cs="Times New Roman"/>
        </w:rPr>
        <w:t>description of</w:t>
      </w:r>
      <w:r w:rsidR="0065279F" w:rsidRPr="00F76F0B">
        <w:rPr>
          <w:rFonts w:ascii="Times New Roman" w:hAnsi="Times New Roman" w:cs="Times New Roman"/>
        </w:rPr>
        <w:t xml:space="preserve"> how the higher patent courts today may be urging the lower courts to reevaluate the </w:t>
      </w:r>
      <w:r w:rsidR="004348A2" w:rsidRPr="00F76F0B">
        <w:rPr>
          <w:rFonts w:ascii="Times New Roman" w:hAnsi="Times New Roman" w:cs="Times New Roman"/>
        </w:rPr>
        <w:t>scope of the requirement given injunctions drastic and sometimes inequitable consequences.</w:t>
      </w:r>
      <w:r>
        <w:rPr>
          <w:rFonts w:ascii="Times New Roman" w:hAnsi="Times New Roman" w:cs="Times New Roman"/>
        </w:rPr>
        <w:t>)</w:t>
      </w:r>
      <w:r w:rsidR="004348A2" w:rsidRPr="00F76F0B">
        <w:rPr>
          <w:rFonts w:ascii="Times New Roman" w:hAnsi="Times New Roman" w:cs="Times New Roman"/>
        </w:rPr>
        <w:t xml:space="preserve"> </w:t>
      </w:r>
      <w:r w:rsidR="001B6B94" w:rsidRPr="00F76F0B">
        <w:rPr>
          <w:rFonts w:ascii="Times New Roman" w:hAnsi="Times New Roman" w:cs="Times New Roman"/>
        </w:rPr>
        <w:t>After comparing th</w:t>
      </w:r>
      <w:r w:rsidR="0076009D" w:rsidRPr="00F76F0B">
        <w:rPr>
          <w:rFonts w:ascii="Times New Roman" w:hAnsi="Times New Roman" w:cs="Times New Roman"/>
        </w:rPr>
        <w:t>e scope and requirements for injunctive relief in patent cases</w:t>
      </w:r>
      <w:r w:rsidR="001B6B94" w:rsidRPr="00F76F0B">
        <w:rPr>
          <w:rFonts w:ascii="Times New Roman" w:hAnsi="Times New Roman" w:cs="Times New Roman"/>
        </w:rPr>
        <w:t xml:space="preserve">, this paper will illustrate </w:t>
      </w:r>
      <w:r w:rsidR="0076009D" w:rsidRPr="00F76F0B">
        <w:rPr>
          <w:rFonts w:ascii="Times New Roman" w:hAnsi="Times New Roman" w:cs="Times New Roman"/>
        </w:rPr>
        <w:t xml:space="preserve">the consequences that a shift in the injunctive relief landscape would have on the patent-holding community at large. </w:t>
      </w:r>
    </w:p>
    <w:p w14:paraId="65D8DBA4" w14:textId="77777777" w:rsidR="00E27696" w:rsidRPr="00F76F0B" w:rsidRDefault="00E27696" w:rsidP="00E27696">
      <w:pPr>
        <w:pStyle w:val="ListParagraph"/>
        <w:spacing w:line="480" w:lineRule="auto"/>
        <w:ind w:left="1440"/>
        <w:rPr>
          <w:rFonts w:ascii="Times New Roman" w:hAnsi="Times New Roman" w:cs="Times New Roman"/>
        </w:rPr>
      </w:pPr>
    </w:p>
    <w:p w14:paraId="233071F5" w14:textId="2287E98E" w:rsidR="0043172A" w:rsidRPr="00A32150" w:rsidRDefault="001B6B94" w:rsidP="006C5FA1">
      <w:pPr>
        <w:pStyle w:val="ListParagraph"/>
        <w:numPr>
          <w:ilvl w:val="0"/>
          <w:numId w:val="4"/>
        </w:numPr>
        <w:spacing w:line="480" w:lineRule="auto"/>
        <w:rPr>
          <w:rFonts w:ascii="Times New Roman" w:hAnsi="Times New Roman" w:cs="Times New Roman"/>
          <w:b/>
        </w:rPr>
      </w:pPr>
      <w:r w:rsidRPr="00A32150">
        <w:rPr>
          <w:rFonts w:ascii="Times New Roman" w:hAnsi="Times New Roman" w:cs="Times New Roman"/>
          <w:b/>
        </w:rPr>
        <w:t>I</w:t>
      </w:r>
      <w:r w:rsidR="0043172A" w:rsidRPr="00A32150">
        <w:rPr>
          <w:rFonts w:ascii="Times New Roman" w:hAnsi="Times New Roman" w:cs="Times New Roman"/>
          <w:b/>
        </w:rPr>
        <w:t>njunctions as a remedy available to a patent-holder</w:t>
      </w:r>
    </w:p>
    <w:p w14:paraId="78825DFE" w14:textId="4DFED837" w:rsidR="00CE23E2" w:rsidRPr="00F76F0B" w:rsidRDefault="008F5B4F" w:rsidP="001056FE">
      <w:pPr>
        <w:spacing w:line="480" w:lineRule="auto"/>
        <w:rPr>
          <w:rFonts w:ascii="Times New Roman" w:eastAsia="Times New Roman" w:hAnsi="Times New Roman" w:cs="Times New Roman"/>
        </w:rPr>
      </w:pPr>
      <w:r w:rsidRPr="00F76F0B">
        <w:rPr>
          <w:rFonts w:ascii="Times New Roman" w:hAnsi="Times New Roman" w:cs="Times New Roman"/>
        </w:rPr>
        <w:t xml:space="preserve">Patent holders seeking relief for infringement of their intellectual property have long been able to request of the courts an injunction against the </w:t>
      </w:r>
      <w:r w:rsidR="004F5D2D" w:rsidRPr="00F76F0B">
        <w:rPr>
          <w:rFonts w:ascii="Times New Roman" w:hAnsi="Times New Roman" w:cs="Times New Roman"/>
        </w:rPr>
        <w:t>infringer.</w:t>
      </w:r>
      <w:r w:rsidR="0081184B">
        <w:rPr>
          <w:rFonts w:ascii="Times New Roman" w:hAnsi="Times New Roman" w:cs="Times New Roman"/>
        </w:rPr>
        <w:t xml:space="preserve"> Other options for relief exist </w:t>
      </w:r>
      <w:r w:rsidR="002A4B4F">
        <w:rPr>
          <w:rFonts w:ascii="Times New Roman" w:hAnsi="Times New Roman" w:cs="Times New Roman"/>
        </w:rPr>
        <w:t>such as monetary compensation. O</w:t>
      </w:r>
      <w:r w:rsidR="004F5D2D" w:rsidRPr="00F76F0B">
        <w:rPr>
          <w:rFonts w:ascii="Times New Roman" w:hAnsi="Times New Roman" w:cs="Times New Roman"/>
        </w:rPr>
        <w:t>ftentimes</w:t>
      </w:r>
      <w:r w:rsidR="002A4B4F">
        <w:rPr>
          <w:rFonts w:ascii="Times New Roman" w:hAnsi="Times New Roman" w:cs="Times New Roman"/>
        </w:rPr>
        <w:t>, however,</w:t>
      </w:r>
      <w:r w:rsidR="004F5D2D" w:rsidRPr="00F76F0B">
        <w:rPr>
          <w:rFonts w:ascii="Times New Roman" w:hAnsi="Times New Roman" w:cs="Times New Roman"/>
        </w:rPr>
        <w:t xml:space="preserve"> patent holders may find that monetary compensation isn’t enough to adequately promote equity. </w:t>
      </w:r>
      <w:r w:rsidR="003C7B77" w:rsidRPr="00F76F0B">
        <w:rPr>
          <w:rFonts w:ascii="Times New Roman" w:hAnsi="Times New Roman" w:cs="Times New Roman"/>
        </w:rPr>
        <w:t>In such situations a court may find that granting an injunction to prevent further patent infringement “</w:t>
      </w:r>
      <w:r w:rsidR="005C2894" w:rsidRPr="00F76F0B">
        <w:rPr>
          <w:rFonts w:ascii="Times New Roman" w:hAnsi="Times New Roman" w:cs="Times New Roman"/>
        </w:rPr>
        <w:t>in accordance with the principles of equity to prevent the violation of any right secured by patent, on such terms as the court deems reasonable</w:t>
      </w:r>
      <w:r w:rsidR="003C7B77" w:rsidRPr="00F76F0B">
        <w:rPr>
          <w:rFonts w:ascii="Times New Roman" w:hAnsi="Times New Roman" w:cs="Times New Roman"/>
        </w:rPr>
        <w:t xml:space="preserve">” is the only option of relief by which the patent holder may be </w:t>
      </w:r>
      <w:r w:rsidR="006D635D" w:rsidRPr="00F76F0B">
        <w:rPr>
          <w:rFonts w:ascii="Times New Roman" w:hAnsi="Times New Roman" w:cs="Times New Roman"/>
        </w:rPr>
        <w:t>adequately</w:t>
      </w:r>
      <w:r w:rsidR="003C7B77" w:rsidRPr="00F76F0B">
        <w:rPr>
          <w:rFonts w:ascii="Times New Roman" w:hAnsi="Times New Roman" w:cs="Times New Roman"/>
        </w:rPr>
        <w:t xml:space="preserve"> compensated.</w:t>
      </w:r>
      <w:r w:rsidR="001056FE" w:rsidRPr="00F76F0B">
        <w:rPr>
          <w:rStyle w:val="FootnoteReference"/>
          <w:rFonts w:ascii="Times New Roman" w:hAnsi="Times New Roman" w:cs="Times New Roman"/>
        </w:rPr>
        <w:footnoteReference w:id="6"/>
      </w:r>
      <w:r w:rsidR="003C7B77" w:rsidRPr="00F76F0B">
        <w:rPr>
          <w:rFonts w:ascii="Times New Roman" w:hAnsi="Times New Roman" w:cs="Times New Roman"/>
        </w:rPr>
        <w:t xml:space="preserve"> </w:t>
      </w:r>
      <w:r w:rsidR="005C2894" w:rsidRPr="00F76F0B">
        <w:rPr>
          <w:rFonts w:ascii="Times New Roman" w:hAnsi="Times New Roman" w:cs="Times New Roman"/>
        </w:rPr>
        <w:t xml:space="preserve">An injunction is at its roots a </w:t>
      </w:r>
      <w:r w:rsidR="009A727A" w:rsidRPr="00F76F0B">
        <w:rPr>
          <w:rFonts w:ascii="Times New Roman" w:hAnsi="Times New Roman" w:cs="Times New Roman"/>
        </w:rPr>
        <w:t>“writ granted by a court of equity whereby one is required to do or to refrain from doing a specified act.”</w:t>
      </w:r>
      <w:r w:rsidR="00A22E90" w:rsidRPr="00F76F0B">
        <w:rPr>
          <w:rStyle w:val="FootnoteReference"/>
          <w:rFonts w:ascii="Times New Roman" w:hAnsi="Times New Roman" w:cs="Times New Roman"/>
        </w:rPr>
        <w:footnoteReference w:id="7"/>
      </w:r>
      <w:r w:rsidR="009A727A" w:rsidRPr="00F76F0B">
        <w:rPr>
          <w:rFonts w:ascii="Times New Roman" w:hAnsi="Times New Roman" w:cs="Times New Roman"/>
        </w:rPr>
        <w:t xml:space="preserve"> </w:t>
      </w:r>
      <w:r w:rsidR="000C4950" w:rsidRPr="00F76F0B">
        <w:rPr>
          <w:rFonts w:ascii="Times New Roman" w:hAnsi="Times New Roman" w:cs="Times New Roman"/>
        </w:rPr>
        <w:t xml:space="preserve">Two forms of injunction have persisted. The first </w:t>
      </w:r>
      <w:r w:rsidR="001056FE" w:rsidRPr="00F76F0B">
        <w:rPr>
          <w:rFonts w:ascii="Times New Roman" w:hAnsi="Times New Roman" w:cs="Times New Roman"/>
        </w:rPr>
        <w:t>for</w:t>
      </w:r>
      <w:r w:rsidR="00CE23E2" w:rsidRPr="00F76F0B">
        <w:rPr>
          <w:rFonts w:ascii="Times New Roman" w:hAnsi="Times New Roman" w:cs="Times New Roman"/>
        </w:rPr>
        <w:t>m</w:t>
      </w:r>
      <w:r w:rsidR="001056FE" w:rsidRPr="00F76F0B">
        <w:rPr>
          <w:rFonts w:ascii="Times New Roman" w:hAnsi="Times New Roman" w:cs="Times New Roman"/>
        </w:rPr>
        <w:t xml:space="preserve"> of injunctive relief is a preliminary injunction. “A</w:t>
      </w:r>
      <w:r w:rsidR="0091113D" w:rsidRPr="00F76F0B">
        <w:rPr>
          <w:rFonts w:ascii="Times New Roman" w:eastAsia="Times New Roman" w:hAnsi="Times New Roman" w:cs="Times New Roman"/>
        </w:rPr>
        <w:t xml:space="preserve"> preliminary injunction, if granted, issues before a full hearing on the merits</w:t>
      </w:r>
      <w:r w:rsidR="001056FE" w:rsidRPr="00F76F0B">
        <w:rPr>
          <w:rFonts w:ascii="Times New Roman" w:eastAsia="Times New Roman" w:hAnsi="Times New Roman" w:cs="Times New Roman"/>
        </w:rPr>
        <w:t>.”</w:t>
      </w:r>
      <w:r w:rsidR="001056FE" w:rsidRPr="00F76F0B">
        <w:rPr>
          <w:rStyle w:val="FootnoteReference"/>
          <w:rFonts w:ascii="Times New Roman" w:eastAsia="Times New Roman" w:hAnsi="Times New Roman" w:cs="Times New Roman"/>
        </w:rPr>
        <w:footnoteReference w:id="8"/>
      </w:r>
      <w:r w:rsidR="001056FE" w:rsidRPr="00F76F0B">
        <w:rPr>
          <w:rFonts w:ascii="Times New Roman" w:eastAsia="Times New Roman" w:hAnsi="Times New Roman" w:cs="Times New Roman"/>
        </w:rPr>
        <w:t xml:space="preserve"> </w:t>
      </w:r>
      <w:r w:rsidR="00CE23E2" w:rsidRPr="00F76F0B">
        <w:rPr>
          <w:rFonts w:ascii="Times New Roman" w:eastAsia="Times New Roman" w:hAnsi="Times New Roman" w:cs="Times New Roman"/>
        </w:rPr>
        <w:t>The other form of injunctive relief av</w:t>
      </w:r>
      <w:r w:rsidR="0043172A" w:rsidRPr="00F76F0B">
        <w:rPr>
          <w:rFonts w:ascii="Times New Roman" w:eastAsia="Times New Roman" w:hAnsi="Times New Roman" w:cs="Times New Roman"/>
        </w:rPr>
        <w:t>ailable to a patent holder is a</w:t>
      </w:r>
      <w:r w:rsidR="00CE23E2" w:rsidRPr="00F76F0B">
        <w:rPr>
          <w:rFonts w:ascii="Times New Roman" w:eastAsia="Times New Roman" w:hAnsi="Times New Roman" w:cs="Times New Roman"/>
        </w:rPr>
        <w:t xml:space="preserve"> </w:t>
      </w:r>
      <w:r w:rsidR="0043172A" w:rsidRPr="00F76F0B">
        <w:rPr>
          <w:rFonts w:ascii="Times New Roman" w:eastAsia="Times New Roman" w:hAnsi="Times New Roman" w:cs="Times New Roman"/>
        </w:rPr>
        <w:t>permanent</w:t>
      </w:r>
      <w:r w:rsidR="009154A6" w:rsidRPr="00F76F0B">
        <w:rPr>
          <w:rFonts w:ascii="Times New Roman" w:eastAsia="Times New Roman" w:hAnsi="Times New Roman" w:cs="Times New Roman"/>
        </w:rPr>
        <w:t xml:space="preserve"> injunctio</w:t>
      </w:r>
      <w:r w:rsidR="009625C5" w:rsidRPr="00F76F0B">
        <w:rPr>
          <w:rFonts w:ascii="Times New Roman" w:eastAsia="Times New Roman" w:hAnsi="Times New Roman" w:cs="Times New Roman"/>
        </w:rPr>
        <w:t>n. “It is a general rule that a [permanent]</w:t>
      </w:r>
      <w:r w:rsidR="009154A6" w:rsidRPr="00F76F0B">
        <w:rPr>
          <w:rFonts w:ascii="Times New Roman" w:eastAsia="Times New Roman" w:hAnsi="Times New Roman" w:cs="Times New Roman"/>
        </w:rPr>
        <w:t xml:space="preserve"> injunction will issue when infringement </w:t>
      </w:r>
      <w:r w:rsidR="005B4A2C" w:rsidRPr="00F76F0B">
        <w:rPr>
          <w:rFonts w:ascii="Times New Roman" w:eastAsia="Times New Roman" w:hAnsi="Times New Roman" w:cs="Times New Roman"/>
        </w:rPr>
        <w:t>has been adjudicated, absent a sound reason for denying it.”</w:t>
      </w:r>
      <w:r w:rsidR="009154A6" w:rsidRPr="00F76F0B">
        <w:rPr>
          <w:rStyle w:val="FootnoteReference"/>
          <w:rFonts w:ascii="Times New Roman" w:eastAsia="Times New Roman" w:hAnsi="Times New Roman" w:cs="Times New Roman"/>
        </w:rPr>
        <w:footnoteReference w:id="9"/>
      </w:r>
      <w:r w:rsidR="005B4A2C" w:rsidRPr="00F76F0B">
        <w:rPr>
          <w:rFonts w:ascii="Times New Roman" w:eastAsia="Times New Roman" w:hAnsi="Times New Roman" w:cs="Times New Roman"/>
        </w:rPr>
        <w:t xml:space="preserve"> </w:t>
      </w:r>
      <w:r w:rsidR="005B4A2C" w:rsidRPr="00F76F0B">
        <w:rPr>
          <w:rStyle w:val="FootnoteReference"/>
          <w:rFonts w:ascii="Times New Roman" w:eastAsia="Times New Roman" w:hAnsi="Times New Roman" w:cs="Times New Roman"/>
        </w:rPr>
        <w:footnoteReference w:id="10"/>
      </w:r>
      <w:r w:rsidR="005B4A2C" w:rsidRPr="00F76F0B">
        <w:rPr>
          <w:rFonts w:ascii="Times New Roman" w:eastAsia="Times New Roman" w:hAnsi="Times New Roman" w:cs="Times New Roman"/>
        </w:rPr>
        <w:t xml:space="preserve"> </w:t>
      </w:r>
    </w:p>
    <w:p w14:paraId="4E27BF0B" w14:textId="77777777" w:rsidR="00E27696" w:rsidRPr="00F76F0B" w:rsidRDefault="00E27696" w:rsidP="00E27696">
      <w:pPr>
        <w:pStyle w:val="ListParagraph"/>
        <w:spacing w:line="480" w:lineRule="auto"/>
        <w:ind w:left="1440"/>
        <w:rPr>
          <w:rFonts w:ascii="Times New Roman" w:eastAsia="Times New Roman" w:hAnsi="Times New Roman" w:cs="Times New Roman"/>
        </w:rPr>
      </w:pPr>
    </w:p>
    <w:p w14:paraId="5F7B8D11" w14:textId="12B3193F" w:rsidR="00A96E91" w:rsidRPr="00A32150" w:rsidRDefault="00A96E91" w:rsidP="006C5FA1">
      <w:pPr>
        <w:pStyle w:val="ListParagraph"/>
        <w:numPr>
          <w:ilvl w:val="0"/>
          <w:numId w:val="4"/>
        </w:numPr>
        <w:spacing w:line="480" w:lineRule="auto"/>
        <w:rPr>
          <w:rFonts w:ascii="Times New Roman" w:eastAsia="Times New Roman" w:hAnsi="Times New Roman" w:cs="Times New Roman"/>
          <w:b/>
        </w:rPr>
      </w:pPr>
      <w:r w:rsidRPr="00A32150">
        <w:rPr>
          <w:rFonts w:ascii="Times New Roman" w:eastAsia="Times New Roman" w:hAnsi="Times New Roman" w:cs="Times New Roman"/>
          <w:b/>
        </w:rPr>
        <w:t>Historic Requirements for Permanent</w:t>
      </w:r>
      <w:r w:rsidR="009625C5" w:rsidRPr="00A32150">
        <w:rPr>
          <w:rFonts w:ascii="Times New Roman" w:eastAsia="Times New Roman" w:hAnsi="Times New Roman" w:cs="Times New Roman"/>
          <w:b/>
        </w:rPr>
        <w:t xml:space="preserve"> and Preliminary</w:t>
      </w:r>
      <w:r w:rsidR="00E04B3A" w:rsidRPr="00A32150">
        <w:rPr>
          <w:rFonts w:ascii="Times New Roman" w:eastAsia="Times New Roman" w:hAnsi="Times New Roman" w:cs="Times New Roman"/>
          <w:b/>
        </w:rPr>
        <w:t xml:space="preserve"> Injunctive Relief</w:t>
      </w:r>
    </w:p>
    <w:p w14:paraId="4B38D35C" w14:textId="1917CD0F" w:rsidR="0091113D" w:rsidRPr="00F76F0B" w:rsidRDefault="00CE23E2" w:rsidP="00E04B3A">
      <w:pPr>
        <w:spacing w:line="480" w:lineRule="auto"/>
        <w:ind w:firstLine="720"/>
        <w:rPr>
          <w:rFonts w:ascii="Times New Roman" w:eastAsia="Times New Roman" w:hAnsi="Times New Roman" w:cs="Times New Roman"/>
        </w:rPr>
      </w:pPr>
      <w:r w:rsidRPr="00F76F0B">
        <w:rPr>
          <w:rFonts w:ascii="Times New Roman" w:eastAsia="Times New Roman" w:hAnsi="Times New Roman" w:cs="Times New Roman"/>
        </w:rPr>
        <w:t xml:space="preserve">In </w:t>
      </w:r>
      <w:r w:rsidRPr="00F76F0B">
        <w:rPr>
          <w:rFonts w:ascii="Times New Roman" w:eastAsia="Times New Roman" w:hAnsi="Times New Roman" w:cs="Times New Roman"/>
          <w:i/>
        </w:rPr>
        <w:t>Chrysler Motors Corp.</w:t>
      </w:r>
      <w:r w:rsidRPr="00F76F0B">
        <w:rPr>
          <w:rFonts w:ascii="Times New Roman" w:eastAsia="Times New Roman" w:hAnsi="Times New Roman" w:cs="Times New Roman"/>
        </w:rPr>
        <w:t xml:space="preserve">, the court </w:t>
      </w:r>
      <w:r w:rsidR="00C74C5B" w:rsidRPr="00F76F0B">
        <w:rPr>
          <w:rFonts w:ascii="Times New Roman" w:eastAsia="Times New Roman" w:hAnsi="Times New Roman" w:cs="Times New Roman"/>
        </w:rPr>
        <w:t xml:space="preserve">lays out the following requirements for patent-holders seeking </w:t>
      </w:r>
      <w:r w:rsidR="00091B2E" w:rsidRPr="00F76F0B">
        <w:rPr>
          <w:rFonts w:ascii="Times New Roman" w:eastAsia="Times New Roman" w:hAnsi="Times New Roman" w:cs="Times New Roman"/>
        </w:rPr>
        <w:t>preliminary</w:t>
      </w:r>
      <w:r w:rsidR="00C74C5B" w:rsidRPr="00F76F0B">
        <w:rPr>
          <w:rFonts w:ascii="Times New Roman" w:eastAsia="Times New Roman" w:hAnsi="Times New Roman" w:cs="Times New Roman"/>
        </w:rPr>
        <w:t xml:space="preserve"> injunction:</w:t>
      </w:r>
      <w:r w:rsidR="00091B2E" w:rsidRPr="00F76F0B">
        <w:rPr>
          <w:rFonts w:ascii="Times New Roman" w:eastAsia="Times New Roman" w:hAnsi="Times New Roman" w:cs="Times New Roman"/>
        </w:rPr>
        <w:t xml:space="preserve"> </w:t>
      </w:r>
    </w:p>
    <w:p w14:paraId="130676E0" w14:textId="77777777" w:rsidR="00210BCD" w:rsidRPr="00F76F0B" w:rsidRDefault="00210BCD" w:rsidP="00210BCD">
      <w:pPr>
        <w:ind w:firstLine="720"/>
        <w:rPr>
          <w:rFonts w:ascii="Times New Roman" w:eastAsia="Times New Roman" w:hAnsi="Times New Roman" w:cs="Times New Roman"/>
        </w:rPr>
      </w:pPr>
      <w:r w:rsidRPr="00F76F0B">
        <w:rPr>
          <w:rFonts w:ascii="Times New Roman" w:eastAsia="Times New Roman" w:hAnsi="Times New Roman" w:cs="Times New Roman"/>
        </w:rPr>
        <w:t xml:space="preserve">1) a reasonable likelihood of success on the merits; </w:t>
      </w:r>
    </w:p>
    <w:p w14:paraId="1BA8EFD0" w14:textId="096F589B" w:rsidR="00210BCD" w:rsidRPr="00F76F0B" w:rsidRDefault="00210BCD" w:rsidP="00210BCD">
      <w:pPr>
        <w:ind w:firstLine="720"/>
        <w:rPr>
          <w:rFonts w:ascii="Times New Roman" w:eastAsia="Times New Roman" w:hAnsi="Times New Roman" w:cs="Times New Roman"/>
        </w:rPr>
      </w:pPr>
      <w:r w:rsidRPr="00F76F0B">
        <w:rPr>
          <w:rFonts w:ascii="Times New Roman" w:eastAsia="Times New Roman" w:hAnsi="Times New Roman" w:cs="Times New Roman"/>
        </w:rPr>
        <w:t>2) irreparable harm</w:t>
      </w:r>
      <w:r w:rsidR="00B22127" w:rsidRPr="00F76F0B">
        <w:rPr>
          <w:rFonts w:ascii="Times New Roman" w:eastAsia="Times New Roman" w:hAnsi="Times New Roman" w:cs="Times New Roman"/>
        </w:rPr>
        <w:t xml:space="preserve"> if the injunction is not granted</w:t>
      </w:r>
      <w:r w:rsidRPr="00F76F0B">
        <w:rPr>
          <w:rFonts w:ascii="Times New Roman" w:eastAsia="Times New Roman" w:hAnsi="Times New Roman" w:cs="Times New Roman"/>
        </w:rPr>
        <w:t xml:space="preserve">; </w:t>
      </w:r>
    </w:p>
    <w:p w14:paraId="4153D718" w14:textId="77777777" w:rsidR="00210BCD" w:rsidRPr="00F76F0B" w:rsidRDefault="00210BCD" w:rsidP="00210BCD">
      <w:pPr>
        <w:ind w:firstLine="720"/>
        <w:rPr>
          <w:rFonts w:ascii="Times New Roman" w:eastAsia="Times New Roman" w:hAnsi="Times New Roman" w:cs="Times New Roman"/>
        </w:rPr>
      </w:pPr>
      <w:r w:rsidRPr="00F76F0B">
        <w:rPr>
          <w:rFonts w:ascii="Times New Roman" w:eastAsia="Times New Roman" w:hAnsi="Times New Roman" w:cs="Times New Roman"/>
        </w:rPr>
        <w:t xml:space="preserve">3) the balance of hardships tipping in favor of the requesting party; and </w:t>
      </w:r>
    </w:p>
    <w:p w14:paraId="6AF8A66A" w14:textId="60152219" w:rsidR="00010643" w:rsidRPr="00F76F0B" w:rsidRDefault="00210BCD" w:rsidP="00010643">
      <w:pPr>
        <w:spacing w:line="480" w:lineRule="auto"/>
        <w:ind w:firstLine="720"/>
        <w:rPr>
          <w:rFonts w:ascii="Times New Roman" w:eastAsia="Times New Roman" w:hAnsi="Times New Roman" w:cs="Times New Roman"/>
        </w:rPr>
      </w:pPr>
      <w:r w:rsidRPr="00F76F0B">
        <w:rPr>
          <w:rFonts w:ascii="Times New Roman" w:eastAsia="Times New Roman" w:hAnsi="Times New Roman" w:cs="Times New Roman"/>
        </w:rPr>
        <w:t>4) that the issuance of an injunction is in the public interest.</w:t>
      </w:r>
      <w:r w:rsidRPr="00F76F0B">
        <w:rPr>
          <w:rStyle w:val="FootnoteReference"/>
          <w:rFonts w:ascii="Times New Roman" w:eastAsia="Times New Roman" w:hAnsi="Times New Roman" w:cs="Times New Roman"/>
        </w:rPr>
        <w:footnoteReference w:id="11"/>
      </w:r>
    </w:p>
    <w:p w14:paraId="5EF5DAD5" w14:textId="2D306E9D" w:rsidR="00D06AF0" w:rsidRPr="00F76F0B" w:rsidRDefault="00C426FA" w:rsidP="00A86BB2">
      <w:pPr>
        <w:spacing w:line="480" w:lineRule="auto"/>
        <w:rPr>
          <w:rFonts w:ascii="Times" w:eastAsia="Times New Roman" w:hAnsi="Times" w:cs="Times New Roman"/>
          <w:sz w:val="20"/>
          <w:szCs w:val="20"/>
        </w:rPr>
      </w:pPr>
      <w:r w:rsidRPr="00F76F0B">
        <w:rPr>
          <w:rFonts w:ascii="Times New Roman" w:eastAsia="Times New Roman" w:hAnsi="Times New Roman" w:cs="Times New Roman"/>
        </w:rPr>
        <w:t>Historically</w:t>
      </w:r>
      <w:r w:rsidR="008131DE">
        <w:rPr>
          <w:rFonts w:ascii="Times New Roman" w:eastAsia="Times New Roman" w:hAnsi="Times New Roman" w:cs="Times New Roman"/>
        </w:rPr>
        <w:t>,</w:t>
      </w:r>
      <w:r w:rsidRPr="00F76F0B">
        <w:rPr>
          <w:rFonts w:ascii="Times New Roman" w:eastAsia="Times New Roman" w:hAnsi="Times New Roman" w:cs="Times New Roman"/>
        </w:rPr>
        <w:t xml:space="preserve"> courts only granted a preliminary injunction when the patent holder demonstrated patent validity and infringement “beyond question.”</w:t>
      </w:r>
      <w:r w:rsidRPr="00F76F0B">
        <w:rPr>
          <w:rStyle w:val="FootnoteReference"/>
          <w:rFonts w:ascii="Times New Roman" w:eastAsia="Times New Roman" w:hAnsi="Times New Roman" w:cs="Times New Roman"/>
        </w:rPr>
        <w:footnoteReference w:id="12"/>
      </w:r>
      <w:r w:rsidRPr="00F76F0B">
        <w:rPr>
          <w:rFonts w:ascii="Times New Roman" w:eastAsia="Times New Roman" w:hAnsi="Times New Roman" w:cs="Times New Roman"/>
        </w:rPr>
        <w:t xml:space="preserve"> </w:t>
      </w:r>
      <w:r w:rsidR="00CD50F2" w:rsidRPr="00F76F0B">
        <w:rPr>
          <w:rFonts w:ascii="Times New Roman" w:eastAsia="Times New Roman" w:hAnsi="Times New Roman" w:cs="Times New Roman"/>
        </w:rPr>
        <w:t xml:space="preserve">Later, </w:t>
      </w:r>
      <w:r w:rsidR="00087952" w:rsidRPr="00F76F0B">
        <w:rPr>
          <w:rFonts w:ascii="Times New Roman" w:eastAsia="Times New Roman" w:hAnsi="Times New Roman" w:cs="Times New Roman"/>
        </w:rPr>
        <w:t>however, the courts did way with the “beyond question” limitation and made it much easier to receive a preliminary injunction</w:t>
      </w:r>
      <w:r w:rsidR="008F722B" w:rsidRPr="00F76F0B">
        <w:rPr>
          <w:rFonts w:ascii="Times New Roman" w:eastAsia="Times New Roman" w:hAnsi="Times New Roman" w:cs="Times New Roman"/>
        </w:rPr>
        <w:t xml:space="preserve"> by placing a greater emphasis on the “</w:t>
      </w:r>
      <w:r w:rsidR="008F722B" w:rsidRPr="00997F0C">
        <w:rPr>
          <w:rFonts w:ascii="Times New Roman" w:eastAsia="Times New Roman" w:hAnsi="Times New Roman" w:cs="Times New Roman"/>
        </w:rPr>
        <w:t>reasonable likelihood of success” factor</w:t>
      </w:r>
      <w:r w:rsidR="00087952" w:rsidRPr="00997F0C">
        <w:rPr>
          <w:rFonts w:ascii="Times New Roman" w:eastAsia="Times New Roman" w:hAnsi="Times New Roman" w:cs="Times New Roman"/>
        </w:rPr>
        <w:t>.</w:t>
      </w:r>
      <w:r w:rsidR="00087952" w:rsidRPr="00997F0C">
        <w:rPr>
          <w:rStyle w:val="FootnoteReference"/>
          <w:rFonts w:ascii="Times New Roman" w:eastAsia="Times New Roman" w:hAnsi="Times New Roman" w:cs="Times New Roman"/>
        </w:rPr>
        <w:footnoteReference w:id="13"/>
      </w:r>
      <w:r w:rsidR="00CD50F2" w:rsidRPr="00997F0C">
        <w:rPr>
          <w:rFonts w:ascii="Times New Roman" w:eastAsia="Times New Roman" w:hAnsi="Times New Roman" w:cs="Times New Roman"/>
        </w:rPr>
        <w:t xml:space="preserve"> </w:t>
      </w:r>
      <w:r w:rsidR="00A86BB2" w:rsidRPr="00997F0C">
        <w:rPr>
          <w:rFonts w:ascii="Times New Roman" w:eastAsia="Times New Roman" w:hAnsi="Times New Roman" w:cs="Times New Roman"/>
        </w:rPr>
        <w:t xml:space="preserve">An example of such a presumption is the courts decision in the </w:t>
      </w:r>
      <w:r w:rsidR="00A86BB2" w:rsidRPr="00997F0C">
        <w:rPr>
          <w:rFonts w:ascii="Times New Roman" w:eastAsia="Times New Roman" w:hAnsi="Times New Roman" w:cs="Times New Roman"/>
          <w:i/>
        </w:rPr>
        <w:t>Odetics, Inc</w:t>
      </w:r>
      <w:r w:rsidR="00A86BB2" w:rsidRPr="00997F0C">
        <w:rPr>
          <w:rFonts w:ascii="Times New Roman" w:eastAsia="Times New Roman" w:hAnsi="Times New Roman" w:cs="Times New Roman"/>
        </w:rPr>
        <w:t>. case: “validity</w:t>
      </w:r>
      <w:r w:rsidR="00D06AF0" w:rsidRPr="00997F0C">
        <w:rPr>
          <w:rFonts w:ascii="Times New Roman" w:eastAsia="Times New Roman" w:hAnsi="Times New Roman" w:cs="Times New Roman"/>
        </w:rPr>
        <w:t xml:space="preserve"> and continuing infringement have been clearly established ... immediate irreparable harm is presumed.”</w:t>
      </w:r>
      <w:r w:rsidR="00A86BB2" w:rsidRPr="00997F0C">
        <w:rPr>
          <w:rStyle w:val="FootnoteReference"/>
          <w:rFonts w:ascii="Times New Roman" w:eastAsia="Times New Roman" w:hAnsi="Times New Roman" w:cs="Times New Roman"/>
        </w:rPr>
        <w:footnoteReference w:id="14"/>
      </w:r>
    </w:p>
    <w:p w14:paraId="3616D0FE" w14:textId="77777777" w:rsidR="00F130AE" w:rsidRPr="00F76F0B" w:rsidRDefault="00F130AE" w:rsidP="00010643">
      <w:pPr>
        <w:spacing w:line="480" w:lineRule="auto"/>
        <w:rPr>
          <w:rFonts w:ascii="Times New Roman" w:eastAsia="Times New Roman" w:hAnsi="Times New Roman" w:cs="Times New Roman"/>
        </w:rPr>
      </w:pPr>
    </w:p>
    <w:p w14:paraId="245C72C6" w14:textId="23CDFCC3" w:rsidR="00F130AE" w:rsidRPr="00A32150" w:rsidRDefault="00DB4B57" w:rsidP="006C5FA1">
      <w:pPr>
        <w:pStyle w:val="ListParagraph"/>
        <w:numPr>
          <w:ilvl w:val="0"/>
          <w:numId w:val="4"/>
        </w:numPr>
        <w:spacing w:line="480" w:lineRule="auto"/>
        <w:rPr>
          <w:rFonts w:ascii="Times New Roman" w:eastAsia="Times New Roman" w:hAnsi="Times New Roman" w:cs="Times New Roman"/>
          <w:b/>
        </w:rPr>
      </w:pPr>
      <w:r w:rsidRPr="00A32150">
        <w:rPr>
          <w:rFonts w:ascii="Times New Roman" w:eastAsia="Times New Roman" w:hAnsi="Times New Roman" w:cs="Times New Roman"/>
          <w:b/>
        </w:rPr>
        <w:t>The eBay Case That Would Change the Analysis and Application of Injunctive Relief</w:t>
      </w:r>
    </w:p>
    <w:p w14:paraId="4E457011" w14:textId="3A78387B" w:rsidR="00DB4B57" w:rsidRPr="00A32150" w:rsidRDefault="00DB4B57" w:rsidP="006C5FA1">
      <w:pPr>
        <w:pStyle w:val="ListParagraph"/>
        <w:numPr>
          <w:ilvl w:val="1"/>
          <w:numId w:val="4"/>
        </w:numPr>
        <w:spacing w:line="480" w:lineRule="auto"/>
        <w:rPr>
          <w:rFonts w:ascii="Times New Roman" w:eastAsia="Times New Roman" w:hAnsi="Times New Roman" w:cs="Times New Roman"/>
          <w:b/>
        </w:rPr>
      </w:pPr>
      <w:r w:rsidRPr="00A32150">
        <w:rPr>
          <w:rFonts w:ascii="Times New Roman" w:eastAsia="Times New Roman" w:hAnsi="Times New Roman" w:cs="Times New Roman"/>
          <w:b/>
        </w:rPr>
        <w:t>A Brief Prosecutorial History of the eBay Case</w:t>
      </w:r>
    </w:p>
    <w:p w14:paraId="0873A37D" w14:textId="44BB9787" w:rsidR="00533E04" w:rsidRPr="00F76F0B" w:rsidRDefault="00732FC4" w:rsidP="00533E04">
      <w:pPr>
        <w:spacing w:line="480" w:lineRule="auto"/>
        <w:ind w:firstLine="720"/>
        <w:rPr>
          <w:rFonts w:ascii="Times New Roman" w:eastAsia="Times New Roman" w:hAnsi="Times New Roman" w:cs="Times New Roman"/>
        </w:rPr>
      </w:pPr>
      <w:r w:rsidRPr="00F76F0B">
        <w:rPr>
          <w:rFonts w:ascii="Times New Roman" w:eastAsia="Times New Roman" w:hAnsi="Times New Roman" w:cs="Times New Roman"/>
        </w:rPr>
        <w:t xml:space="preserve">In 2006 </w:t>
      </w:r>
      <w:r w:rsidR="00A412AE" w:rsidRPr="00F76F0B">
        <w:rPr>
          <w:rFonts w:ascii="Times New Roman" w:eastAsia="Times New Roman" w:hAnsi="Times New Roman" w:cs="Times New Roman"/>
        </w:rPr>
        <w:t xml:space="preserve">the Supreme Court’s decision in </w:t>
      </w:r>
      <w:r w:rsidRPr="00F76F0B">
        <w:rPr>
          <w:rFonts w:ascii="Times New Roman" w:eastAsia="Times New Roman" w:hAnsi="Times New Roman" w:cs="Times New Roman"/>
          <w:i/>
        </w:rPr>
        <w:t>eBay v. MercExchange</w:t>
      </w:r>
      <w:r w:rsidR="003A225B" w:rsidRPr="00F76F0B">
        <w:rPr>
          <w:rFonts w:ascii="Times New Roman" w:eastAsia="Times New Roman" w:hAnsi="Times New Roman" w:cs="Times New Roman"/>
          <w:i/>
        </w:rPr>
        <w:t xml:space="preserve"> </w:t>
      </w:r>
      <w:r w:rsidR="008A091E" w:rsidRPr="00F76F0B">
        <w:rPr>
          <w:rStyle w:val="FootnoteReference"/>
          <w:rFonts w:ascii="Times New Roman" w:eastAsia="Times New Roman" w:hAnsi="Times New Roman" w:cs="Times New Roman"/>
        </w:rPr>
        <w:footnoteReference w:id="15"/>
      </w:r>
      <w:r w:rsidRPr="00F76F0B">
        <w:rPr>
          <w:rFonts w:ascii="Times New Roman" w:eastAsia="Times New Roman" w:hAnsi="Times New Roman" w:cs="Times New Roman"/>
        </w:rPr>
        <w:t xml:space="preserve"> significantly changed the way the courts would view injunctive relief moving forward.</w:t>
      </w:r>
      <w:r w:rsidR="008E3911" w:rsidRPr="00F76F0B">
        <w:rPr>
          <w:rFonts w:ascii="Times New Roman" w:eastAsia="Times New Roman" w:hAnsi="Times New Roman" w:cs="Times New Roman"/>
        </w:rPr>
        <w:t xml:space="preserve"> </w:t>
      </w:r>
      <w:r w:rsidR="007F7644" w:rsidRPr="00F76F0B">
        <w:rPr>
          <w:rFonts w:ascii="Times New Roman" w:hAnsi="Times New Roman" w:cs="Times New Roman"/>
        </w:rPr>
        <w:t>In the case, eBay was accused of infringing several patents owned by MercExchange. eBay initially tried to buy MercExchange’s entire patent portfolio but negotiations broke down and Mer</w:t>
      </w:r>
      <w:r w:rsidR="00C00927" w:rsidRPr="00F76F0B">
        <w:rPr>
          <w:rFonts w:ascii="Times New Roman" w:hAnsi="Times New Roman" w:cs="Times New Roman"/>
        </w:rPr>
        <w:t>cExchange sued eB</w:t>
      </w:r>
      <w:r w:rsidR="007F7644" w:rsidRPr="00F76F0B">
        <w:rPr>
          <w:rFonts w:ascii="Times New Roman" w:hAnsi="Times New Roman" w:cs="Times New Roman"/>
        </w:rPr>
        <w:t xml:space="preserve">ay for infringement.  The </w:t>
      </w:r>
      <w:r w:rsidR="00CC493F" w:rsidRPr="00F76F0B">
        <w:rPr>
          <w:rFonts w:ascii="Times New Roman" w:hAnsi="Times New Roman" w:cs="Times New Roman"/>
        </w:rPr>
        <w:t xml:space="preserve">Virginia </w:t>
      </w:r>
      <w:r w:rsidR="00533E04" w:rsidRPr="00F76F0B">
        <w:rPr>
          <w:rFonts w:ascii="Times New Roman" w:hAnsi="Times New Roman" w:cs="Times New Roman"/>
        </w:rPr>
        <w:t>District</w:t>
      </w:r>
      <w:r w:rsidR="00CC493F" w:rsidRPr="00F76F0B">
        <w:rPr>
          <w:rFonts w:ascii="Times New Roman" w:hAnsi="Times New Roman" w:cs="Times New Roman"/>
        </w:rPr>
        <w:t xml:space="preserve"> </w:t>
      </w:r>
      <w:r w:rsidR="00533E04" w:rsidRPr="00F76F0B">
        <w:rPr>
          <w:rFonts w:ascii="Times New Roman" w:hAnsi="Times New Roman" w:cs="Times New Roman"/>
        </w:rPr>
        <w:t>C</w:t>
      </w:r>
      <w:r w:rsidR="007F7644" w:rsidRPr="00F76F0B">
        <w:rPr>
          <w:rFonts w:ascii="Times New Roman" w:hAnsi="Times New Roman" w:cs="Times New Roman"/>
        </w:rPr>
        <w:t xml:space="preserve">ourt held that eBay had in fact </w:t>
      </w:r>
      <w:r w:rsidR="004A22AB" w:rsidRPr="00F76F0B">
        <w:rPr>
          <w:rFonts w:ascii="Times New Roman" w:hAnsi="Times New Roman" w:cs="Times New Roman"/>
        </w:rPr>
        <w:t xml:space="preserve">willfully </w:t>
      </w:r>
      <w:r w:rsidR="007F7644" w:rsidRPr="00F76F0B">
        <w:rPr>
          <w:rFonts w:ascii="Times New Roman" w:hAnsi="Times New Roman" w:cs="Times New Roman"/>
        </w:rPr>
        <w:t xml:space="preserve">infringed a few patents owned </w:t>
      </w:r>
      <w:r w:rsidR="00C55933" w:rsidRPr="00F76F0B">
        <w:rPr>
          <w:rFonts w:ascii="Times New Roman" w:hAnsi="Times New Roman" w:cs="Times New Roman"/>
        </w:rPr>
        <w:t>by MercExchange, including the 5,845,</w:t>
      </w:r>
      <w:r w:rsidR="007F7644" w:rsidRPr="00F76F0B">
        <w:rPr>
          <w:rFonts w:ascii="Times New Roman" w:hAnsi="Times New Roman" w:cs="Times New Roman"/>
        </w:rPr>
        <w:t>265 patent for eBay’s “Buy in Now” function.</w:t>
      </w:r>
      <w:r w:rsidR="00CC493F" w:rsidRPr="00F76F0B">
        <w:rPr>
          <w:rStyle w:val="FootnoteReference"/>
          <w:rFonts w:ascii="Times New Roman" w:hAnsi="Times New Roman" w:cs="Times New Roman"/>
        </w:rPr>
        <w:footnoteReference w:id="16"/>
      </w:r>
      <w:r w:rsidR="00CB6E47" w:rsidRPr="00F76F0B">
        <w:rPr>
          <w:rFonts w:ascii="Times New Roman" w:hAnsi="Times New Roman" w:cs="Times New Roman"/>
        </w:rPr>
        <w:t xml:space="preserve"> </w:t>
      </w:r>
      <w:r w:rsidR="004A22AB" w:rsidRPr="00F76F0B">
        <w:rPr>
          <w:rFonts w:ascii="Times New Roman" w:hAnsi="Times New Roman" w:cs="Times New Roman"/>
        </w:rPr>
        <w:t xml:space="preserve"> After the verdict, MercExchange requested a permanent injunction against eBay to prevent the online shopping giant from continuing to use the “Buy it Now” feature on the basis that irreparable harm will occur without the injunction. </w:t>
      </w:r>
      <w:r w:rsidR="00065125">
        <w:rPr>
          <w:rFonts w:ascii="Times New Roman" w:hAnsi="Times New Roman" w:cs="Times New Roman"/>
        </w:rPr>
        <w:t xml:space="preserve">In the case, </w:t>
      </w:r>
      <w:r w:rsidR="00D06AF0" w:rsidRPr="00F76F0B">
        <w:rPr>
          <w:rFonts w:ascii="Times New Roman" w:hAnsi="Times New Roman" w:cs="Times New Roman"/>
        </w:rPr>
        <w:t xml:space="preserve">MercExchange argues that </w:t>
      </w:r>
      <w:r w:rsidR="00065125">
        <w:rPr>
          <w:rFonts w:ascii="Times New Roman" w:hAnsi="Times New Roman" w:cs="Times New Roman"/>
        </w:rPr>
        <w:t>t</w:t>
      </w:r>
      <w:r w:rsidR="00D06AF0" w:rsidRPr="00F76F0B">
        <w:rPr>
          <w:rFonts w:ascii="Times New Roman" w:hAnsi="Times New Roman" w:cs="Times New Roman"/>
        </w:rPr>
        <w:t>he court should adopt the longstanding ruling that where validity and continuing infringement are clearly established, immed</w:t>
      </w:r>
      <w:r w:rsidR="0017397E" w:rsidRPr="00F76F0B">
        <w:rPr>
          <w:rFonts w:ascii="Times New Roman" w:hAnsi="Times New Roman" w:cs="Times New Roman"/>
        </w:rPr>
        <w:t>iate irreparable harm</w:t>
      </w:r>
      <w:r w:rsidR="00D06AF0" w:rsidRPr="00F76F0B">
        <w:rPr>
          <w:rFonts w:ascii="Times New Roman" w:hAnsi="Times New Roman" w:cs="Times New Roman"/>
        </w:rPr>
        <w:t xml:space="preserve"> is presumed.</w:t>
      </w:r>
      <w:r w:rsidR="00D06AF0" w:rsidRPr="00F76F0B">
        <w:rPr>
          <w:rStyle w:val="FootnoteReference"/>
          <w:rFonts w:ascii="Times New Roman" w:hAnsi="Times New Roman" w:cs="Times New Roman"/>
        </w:rPr>
        <w:footnoteReference w:id="17"/>
      </w:r>
      <w:r w:rsidR="00D06AF0" w:rsidRPr="00F76F0B">
        <w:rPr>
          <w:rFonts w:ascii="Times New Roman" w:hAnsi="Times New Roman" w:cs="Times New Roman"/>
        </w:rPr>
        <w:t xml:space="preserve"> </w:t>
      </w:r>
      <w:r w:rsidR="004A22AB" w:rsidRPr="00F76F0B">
        <w:rPr>
          <w:rFonts w:ascii="Times New Roman" w:hAnsi="Times New Roman" w:cs="Times New Roman"/>
        </w:rPr>
        <w:t>The district court denied the request</w:t>
      </w:r>
      <w:r w:rsidR="00D06AF0" w:rsidRPr="00F76F0B">
        <w:rPr>
          <w:rFonts w:ascii="Times New Roman" w:hAnsi="Times New Roman" w:cs="Times New Roman"/>
        </w:rPr>
        <w:t xml:space="preserve"> noting that </w:t>
      </w:r>
      <w:r w:rsidR="0087339B" w:rsidRPr="00F76F0B">
        <w:rPr>
          <w:rFonts w:ascii="Times New Roman" w:hAnsi="Times New Roman" w:cs="Times New Roman"/>
        </w:rPr>
        <w:t>the clear establishment of patent validity and evidence of continuing infringement “</w:t>
      </w:r>
      <w:r w:rsidR="0087339B" w:rsidRPr="00F76F0B">
        <w:rPr>
          <w:rFonts w:ascii="Times New Roman" w:eastAsia="Times New Roman" w:hAnsi="Times New Roman" w:cs="Times New Roman"/>
        </w:rPr>
        <w:t>merely establishes a presumption of irreparable harm. This presumption may be rebutted by factors such as whether the infringer has ceased its infringing activity, whether the patentee has granted licenses in the past such that it can be compensated for the infringement, and whether the patentee delayed in bringing the lawsuit.”</w:t>
      </w:r>
      <w:r w:rsidR="0087339B" w:rsidRPr="00F76F0B">
        <w:rPr>
          <w:rStyle w:val="FootnoteReference"/>
          <w:rFonts w:ascii="Times New Roman" w:eastAsia="Times New Roman" w:hAnsi="Times New Roman" w:cs="Times New Roman"/>
        </w:rPr>
        <w:footnoteReference w:id="18"/>
      </w:r>
    </w:p>
    <w:p w14:paraId="36F8E048" w14:textId="15B3D522" w:rsidR="00D06AF0" w:rsidRPr="00F76F0B" w:rsidRDefault="00533E04" w:rsidP="00802D82">
      <w:pPr>
        <w:spacing w:line="480" w:lineRule="auto"/>
        <w:ind w:firstLine="720"/>
        <w:rPr>
          <w:rFonts w:ascii="Times New Roman" w:hAnsi="Times New Roman" w:cs="Times New Roman"/>
          <w:color w:val="1C1C1C"/>
        </w:rPr>
      </w:pPr>
      <w:r w:rsidRPr="00F76F0B">
        <w:rPr>
          <w:rFonts w:ascii="Times New Roman" w:eastAsia="Times New Roman" w:hAnsi="Times New Roman" w:cs="Times New Roman"/>
        </w:rPr>
        <w:t>MercExchange appealed the ruling and t</w:t>
      </w:r>
      <w:r w:rsidRPr="00F76F0B">
        <w:rPr>
          <w:rFonts w:ascii="Times New Roman" w:hAnsi="Times New Roman" w:cs="Times New Roman"/>
        </w:rPr>
        <w:t>he United States Court of Appeals for the Federal Circuit reversed the District Court, stating</w:t>
      </w:r>
      <w:r w:rsidRPr="00F76F0B">
        <w:rPr>
          <w:rFonts w:ascii="Times New Roman" w:hAnsi="Times New Roman" w:cs="Times New Roman"/>
          <w:color w:val="1C1C1C"/>
        </w:rPr>
        <w:t xml:space="preserve"> that a "general rule is that a permanent injunction will issue once infringement and validity have been adjudged,” and “we therefore see no reason to depart from the general rule that courts will issue permanent injunctions against patent infringement absent exceptional circumstances.”</w:t>
      </w:r>
      <w:r w:rsidR="00672635" w:rsidRPr="00F76F0B">
        <w:rPr>
          <w:rStyle w:val="FootnoteReference"/>
          <w:rFonts w:ascii="Times New Roman" w:hAnsi="Times New Roman" w:cs="Times New Roman"/>
          <w:color w:val="1C1C1C"/>
        </w:rPr>
        <w:footnoteReference w:id="19"/>
      </w:r>
      <w:r w:rsidR="0087284F" w:rsidRPr="00F76F0B">
        <w:rPr>
          <w:rFonts w:ascii="Times New Roman" w:hAnsi="Times New Roman" w:cs="Times New Roman"/>
          <w:color w:val="1C1C1C"/>
        </w:rPr>
        <w:t xml:space="preserve"> </w:t>
      </w:r>
      <w:r w:rsidR="002950A4" w:rsidRPr="00F76F0B">
        <w:rPr>
          <w:rFonts w:ascii="Times New Roman" w:hAnsi="Times New Roman" w:cs="Times New Roman"/>
          <w:color w:val="1C1C1C"/>
        </w:rPr>
        <w:t>eBay appealed the ruling and the case was taken up by the Supreme Court of the Unite</w:t>
      </w:r>
      <w:r w:rsidR="00635CB1" w:rsidRPr="00F76F0B">
        <w:rPr>
          <w:rFonts w:ascii="Times New Roman" w:hAnsi="Times New Roman" w:cs="Times New Roman"/>
          <w:color w:val="1C1C1C"/>
        </w:rPr>
        <w:t>d</w:t>
      </w:r>
      <w:r w:rsidR="002950A4" w:rsidRPr="00F76F0B">
        <w:rPr>
          <w:rFonts w:ascii="Times New Roman" w:hAnsi="Times New Roman" w:cs="Times New Roman"/>
          <w:color w:val="1C1C1C"/>
        </w:rPr>
        <w:t xml:space="preserve"> States.</w:t>
      </w:r>
      <w:r w:rsidR="003D5C66" w:rsidRPr="00F76F0B">
        <w:rPr>
          <w:rFonts w:ascii="Times New Roman" w:hAnsi="Times New Roman" w:cs="Times New Roman"/>
          <w:color w:val="1C1C1C"/>
        </w:rPr>
        <w:t xml:space="preserve"> Th</w:t>
      </w:r>
      <w:r w:rsidR="00635CB1" w:rsidRPr="00F76F0B">
        <w:rPr>
          <w:rFonts w:ascii="Times New Roman" w:hAnsi="Times New Roman" w:cs="Times New Roman"/>
          <w:color w:val="1C1C1C"/>
        </w:rPr>
        <w:t xml:space="preserve">ere, </w:t>
      </w:r>
      <w:r w:rsidR="00DD32E5" w:rsidRPr="00F76F0B">
        <w:rPr>
          <w:rFonts w:ascii="Times New Roman" w:hAnsi="Times New Roman" w:cs="Times New Roman"/>
          <w:color w:val="1C1C1C"/>
        </w:rPr>
        <w:t xml:space="preserve">the </w:t>
      </w:r>
      <w:r w:rsidR="00635CB1" w:rsidRPr="00F76F0B">
        <w:rPr>
          <w:rFonts w:ascii="Times New Roman" w:hAnsi="Times New Roman" w:cs="Times New Roman"/>
          <w:color w:val="1C1C1C"/>
        </w:rPr>
        <w:t>Sup</w:t>
      </w:r>
      <w:r w:rsidR="00DD32E5" w:rsidRPr="00F76F0B">
        <w:rPr>
          <w:rFonts w:ascii="Times New Roman" w:hAnsi="Times New Roman" w:cs="Times New Roman"/>
          <w:color w:val="1C1C1C"/>
        </w:rPr>
        <w:t xml:space="preserve">reme Court of the United States narrowed </w:t>
      </w:r>
      <w:r w:rsidR="00635CB1" w:rsidRPr="00F76F0B">
        <w:rPr>
          <w:rFonts w:ascii="Times New Roman" w:hAnsi="Times New Roman" w:cs="Times New Roman"/>
          <w:color w:val="1C1C1C"/>
        </w:rPr>
        <w:t xml:space="preserve">the doctrine surrounding injunctive relief </w:t>
      </w:r>
      <w:r w:rsidR="003D5C66" w:rsidRPr="00F76F0B">
        <w:rPr>
          <w:rFonts w:ascii="Times New Roman" w:hAnsi="Times New Roman" w:cs="Times New Roman"/>
          <w:color w:val="1C1C1C"/>
        </w:rPr>
        <w:t xml:space="preserve">considerately </w:t>
      </w:r>
      <w:r w:rsidR="00DD32E5" w:rsidRPr="00F76F0B">
        <w:rPr>
          <w:rFonts w:ascii="Times New Roman" w:hAnsi="Times New Roman" w:cs="Times New Roman"/>
          <w:color w:val="1C1C1C"/>
        </w:rPr>
        <w:t xml:space="preserve">in order </w:t>
      </w:r>
      <w:r w:rsidR="003D5C66" w:rsidRPr="00F76F0B">
        <w:rPr>
          <w:rFonts w:ascii="Times New Roman" w:hAnsi="Times New Roman" w:cs="Times New Roman"/>
          <w:color w:val="1C1C1C"/>
        </w:rPr>
        <w:t>to</w:t>
      </w:r>
      <w:r w:rsidR="0008182D" w:rsidRPr="00F76F0B">
        <w:rPr>
          <w:rFonts w:ascii="Times New Roman" w:hAnsi="Times New Roman" w:cs="Times New Roman"/>
          <w:color w:val="1C1C1C"/>
        </w:rPr>
        <w:t xml:space="preserve"> seemingly</w:t>
      </w:r>
      <w:r w:rsidR="003D5C66" w:rsidRPr="00F76F0B">
        <w:rPr>
          <w:rFonts w:ascii="Times New Roman" w:hAnsi="Times New Roman" w:cs="Times New Roman"/>
          <w:color w:val="1C1C1C"/>
        </w:rPr>
        <w:t xml:space="preserve"> b</w:t>
      </w:r>
      <w:r w:rsidR="0008182D" w:rsidRPr="00F76F0B">
        <w:rPr>
          <w:rFonts w:ascii="Times New Roman" w:hAnsi="Times New Roman" w:cs="Times New Roman"/>
          <w:color w:val="1C1C1C"/>
        </w:rPr>
        <w:t xml:space="preserve">e better suited for the modern times in which injunctive relief is being used more and more as a sword instead of a shield. </w:t>
      </w:r>
    </w:p>
    <w:p w14:paraId="721C9908" w14:textId="77777777" w:rsidR="00E27696" w:rsidRPr="00F76F0B" w:rsidRDefault="00E27696" w:rsidP="00802D82">
      <w:pPr>
        <w:spacing w:line="480" w:lineRule="auto"/>
        <w:ind w:firstLine="720"/>
        <w:rPr>
          <w:rFonts w:ascii="Times New Roman" w:hAnsi="Times New Roman" w:cs="Times New Roman"/>
          <w:color w:val="1C1C1C"/>
        </w:rPr>
      </w:pPr>
    </w:p>
    <w:p w14:paraId="5F10B143" w14:textId="22B3E7FC" w:rsidR="00DB4B57" w:rsidRPr="00A32150" w:rsidRDefault="00DB4B57" w:rsidP="006C5FA1">
      <w:pPr>
        <w:pStyle w:val="ListParagraph"/>
        <w:numPr>
          <w:ilvl w:val="1"/>
          <w:numId w:val="4"/>
        </w:numPr>
        <w:spacing w:line="480" w:lineRule="auto"/>
        <w:rPr>
          <w:rFonts w:ascii="Times New Roman" w:eastAsia="Times New Roman" w:hAnsi="Times New Roman" w:cs="Times New Roman"/>
          <w:b/>
        </w:rPr>
      </w:pPr>
      <w:r w:rsidRPr="00A32150">
        <w:rPr>
          <w:rFonts w:ascii="Times New Roman" w:eastAsia="Times New Roman" w:hAnsi="Times New Roman" w:cs="Times New Roman"/>
          <w:b/>
        </w:rPr>
        <w:t>Pre-eBay Analysis and Application of Injunctive Relief</w:t>
      </w:r>
    </w:p>
    <w:p w14:paraId="4F6AAD51" w14:textId="3C38F17C" w:rsidR="00DB4B57" w:rsidRPr="00F76F0B" w:rsidRDefault="00ED007D" w:rsidP="00DB4B5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One of the rationales</w:t>
      </w:r>
      <w:r w:rsidR="00DB4B57" w:rsidRPr="00F76F0B">
        <w:rPr>
          <w:rFonts w:ascii="Times New Roman" w:eastAsia="Times New Roman" w:hAnsi="Times New Roman" w:cs="Times New Roman"/>
        </w:rPr>
        <w:t xml:space="preserve"> behind the default rule to grant injunctions was likely that patent holders were entitled to injunctions due to a statutory right to “prevent others from making, using, offering for sale, or selling a patented invention.”</w:t>
      </w:r>
      <w:r w:rsidR="00DB4B57" w:rsidRPr="00F76F0B">
        <w:rPr>
          <w:rStyle w:val="FootnoteReference"/>
          <w:rFonts w:ascii="Times New Roman" w:eastAsia="Times New Roman" w:hAnsi="Times New Roman" w:cs="Times New Roman"/>
        </w:rPr>
        <w:footnoteReference w:id="20"/>
      </w:r>
      <w:r w:rsidR="00DB4B57" w:rsidRPr="00F76F0B">
        <w:rPr>
          <w:rFonts w:ascii="Times New Roman" w:eastAsia="Times New Roman" w:hAnsi="Times New Roman" w:cs="Times New Roman"/>
        </w:rPr>
        <w:t xml:space="preserve"> Therefore, it logically followed that patent holders should be allowed to prevent others from making and selling their invention even if there are other avenues by which the patent holder may be compensated for its use. The courts likely reasoned that due to the language of the statute and from a natural rights perspective, where a patent holder is entitled to a patent because he put her blood, sweat, and tears into the invention, a patent holder should be able to prevent others from reaping the benefits of his work. Undoubtedly some patent holders were and still are perfectly satisfied with monetary compensation for infringement of their patent. </w:t>
      </w:r>
      <w:r w:rsidR="00BD3825">
        <w:rPr>
          <w:rFonts w:ascii="Times New Roman" w:eastAsia="Times New Roman" w:hAnsi="Times New Roman" w:cs="Times New Roman"/>
        </w:rPr>
        <w:t>Indeed, some patent holders end game</w:t>
      </w:r>
      <w:r w:rsidR="00DB4B57" w:rsidRPr="00F76F0B">
        <w:rPr>
          <w:rFonts w:ascii="Times New Roman" w:eastAsia="Times New Roman" w:hAnsi="Times New Roman" w:cs="Times New Roman"/>
        </w:rPr>
        <w:t xml:space="preserve"> is to get their invention licensed and collect royalty fees. They do not ever plan on practicing the invention and therefore monetary compensation in the form of royalty fees or outright purchase of the patent is satisfactory and even preferred</w:t>
      </w:r>
      <w:r w:rsidR="00DB4B57" w:rsidRPr="00064B68">
        <w:rPr>
          <w:rFonts w:ascii="Times New Roman" w:eastAsia="Times New Roman" w:hAnsi="Times New Roman" w:cs="Times New Roman"/>
        </w:rPr>
        <w:t>.</w:t>
      </w:r>
      <w:r w:rsidR="00DB4B57" w:rsidRPr="00064B68">
        <w:rPr>
          <w:rStyle w:val="FootnoteReference"/>
          <w:rFonts w:ascii="Times New Roman" w:eastAsia="Times New Roman" w:hAnsi="Times New Roman" w:cs="Times New Roman"/>
        </w:rPr>
        <w:footnoteReference w:id="21"/>
      </w:r>
      <w:r w:rsidR="00064B68" w:rsidRPr="00064B68">
        <w:rPr>
          <w:rFonts w:ascii="Times New Roman" w:eastAsia="Times New Roman" w:hAnsi="Times New Roman" w:cs="Times New Roman"/>
        </w:rPr>
        <w:t xml:space="preserve"> </w:t>
      </w:r>
      <w:r w:rsidR="00064B68" w:rsidRPr="00064B68">
        <w:rPr>
          <w:rFonts w:ascii="Times New Roman" w:eastAsia="Times New Roman" w:hAnsi="Times New Roman" w:cs="Times New Roman"/>
        </w:rPr>
        <w:t>[A rule of damages instead of injunction amounts to a compulsory license, and even if the patent holder wants to license the patent he may prefer to negotiate the price himself instead of having it done by a court.]</w:t>
      </w:r>
    </w:p>
    <w:p w14:paraId="4A87CBD9" w14:textId="6D8FC61C" w:rsidR="00DB4B57" w:rsidRPr="00F76F0B" w:rsidRDefault="00DB4B57" w:rsidP="00E27696">
      <w:pPr>
        <w:spacing w:line="480" w:lineRule="auto"/>
        <w:ind w:firstLine="720"/>
        <w:rPr>
          <w:rFonts w:ascii="Times New Roman" w:hAnsi="Times New Roman" w:cs="Times New Roman"/>
        </w:rPr>
      </w:pPr>
      <w:r w:rsidRPr="00F76F0B">
        <w:rPr>
          <w:rFonts w:ascii="Times New Roman" w:eastAsia="Times New Roman" w:hAnsi="Times New Roman" w:cs="Times New Roman"/>
        </w:rPr>
        <w:t xml:space="preserve">There exists a wholly different set of inventors, however, for which collecting monetary relief for infringement on their prized invention would not be enough. For those people, collecting a royalty and being forced to allow others to practice the invention would simply be a consolation prize for all of the hard work they put into coming up with the invention in the first place. To protect the choice of the inventors (it is their inventions that are being protected, after all) courts like the </w:t>
      </w:r>
      <w:r w:rsidRPr="00F76F0B">
        <w:rPr>
          <w:rFonts w:ascii="Times New Roman" w:hAnsi="Times New Roman" w:cs="Times New Roman"/>
        </w:rPr>
        <w:t>United States Court of Appeals for the Federal Circuit res</w:t>
      </w:r>
      <w:r w:rsidR="00720B9E">
        <w:rPr>
          <w:rFonts w:ascii="Times New Roman" w:hAnsi="Times New Roman" w:cs="Times New Roman"/>
        </w:rPr>
        <w:t>orted to allowing an inventor to receive an</w:t>
      </w:r>
      <w:r w:rsidRPr="00F76F0B">
        <w:rPr>
          <w:rFonts w:ascii="Times New Roman" w:hAnsi="Times New Roman" w:cs="Times New Roman"/>
        </w:rPr>
        <w:t xml:space="preserve"> injunction based on a fairly loose set of requirements. By allowing inventors to receive an injunction so readily, the courts were allowing inventors to effectively choose between monetary compensation and a protection of their rights as a patent holder. </w:t>
      </w:r>
    </w:p>
    <w:p w14:paraId="56A4325A" w14:textId="124A00B9" w:rsidR="00DB4B57" w:rsidRPr="00F76F0B" w:rsidRDefault="00DB4B57" w:rsidP="00E27696">
      <w:pPr>
        <w:spacing w:line="480" w:lineRule="auto"/>
        <w:ind w:firstLine="720"/>
        <w:rPr>
          <w:rFonts w:ascii="Times New Roman" w:hAnsi="Times New Roman" w:cs="Times New Roman"/>
        </w:rPr>
      </w:pPr>
      <w:r w:rsidRPr="00F76F0B">
        <w:rPr>
          <w:rFonts w:ascii="Times New Roman" w:hAnsi="Times New Roman" w:cs="Times New Roman"/>
        </w:rPr>
        <w:t>This type of logic makes a great deal of sense. Inventors enjoy the statutory right to receive a legal monopoly for a certain period of time.</w:t>
      </w:r>
      <w:r w:rsidRPr="00F76F0B">
        <w:rPr>
          <w:rStyle w:val="FootnoteReference"/>
          <w:rFonts w:ascii="Times New Roman" w:hAnsi="Times New Roman" w:cs="Times New Roman"/>
        </w:rPr>
        <w:footnoteReference w:id="22"/>
      </w:r>
      <w:r w:rsidRPr="00F76F0B">
        <w:rPr>
          <w:rFonts w:ascii="Times New Roman" w:hAnsi="Times New Roman" w:cs="Times New Roman"/>
        </w:rPr>
        <w:t xml:space="preserve"> After all, </w:t>
      </w:r>
      <w:r w:rsidR="00CB115D">
        <w:rPr>
          <w:rFonts w:ascii="Times New Roman" w:hAnsi="Times New Roman" w:cs="Times New Roman"/>
        </w:rPr>
        <w:t xml:space="preserve">one of </w:t>
      </w:r>
      <w:r w:rsidRPr="00F76F0B">
        <w:rPr>
          <w:rFonts w:ascii="Times New Roman" w:hAnsi="Times New Roman" w:cs="Times New Roman"/>
        </w:rPr>
        <w:t>the public policy rationale</w:t>
      </w:r>
      <w:r w:rsidR="00CB115D">
        <w:rPr>
          <w:rFonts w:ascii="Times New Roman" w:hAnsi="Times New Roman" w:cs="Times New Roman"/>
        </w:rPr>
        <w:t>s</w:t>
      </w:r>
      <w:r w:rsidRPr="00F76F0B">
        <w:rPr>
          <w:rFonts w:ascii="Times New Roman" w:hAnsi="Times New Roman" w:cs="Times New Roman"/>
        </w:rPr>
        <w:t xml:space="preserve"> behind the patent system in the United States is that by giving people a short term incentive to be creative in coming up with good ideas the public good will be able to reap those same benefits in the long term. By giving Inventors short-term compensation in the form of money or the right to exclusively make and sell their invention for a short period of time, you incentivize them to put the work into an invention they might have otherwise abandoned or never even began. After a short period of time, but long enough </w:t>
      </w:r>
      <w:r w:rsidR="00997F0C">
        <w:rPr>
          <w:rFonts w:ascii="Times New Roman" w:hAnsi="Times New Roman" w:cs="Times New Roman"/>
        </w:rPr>
        <w:t xml:space="preserve">so </w:t>
      </w:r>
      <w:r w:rsidRPr="00F76F0B">
        <w:rPr>
          <w:rFonts w:ascii="Times New Roman" w:hAnsi="Times New Roman" w:cs="Times New Roman"/>
        </w:rPr>
        <w:t xml:space="preserve">that the inventors are sufficiently rewarded for their efforts, the invention becomes the property of the public, for public use and benefit. The system has worked as </w:t>
      </w:r>
      <w:r w:rsidR="00EF39C6">
        <w:rPr>
          <w:rFonts w:ascii="Times New Roman" w:hAnsi="Times New Roman" w:cs="Times New Roman"/>
        </w:rPr>
        <w:t>intended</w:t>
      </w:r>
      <w:r w:rsidRPr="00F76F0B">
        <w:rPr>
          <w:rFonts w:ascii="Times New Roman" w:hAnsi="Times New Roman" w:cs="Times New Roman"/>
        </w:rPr>
        <w:t xml:space="preserve"> for hundreds of years and perhaps courts like the United States Court of Appeals for the Federal Circuit in the eBay case deemed it wise to continue to allow inventors the option of injunctive relief if they so choose. </w:t>
      </w:r>
    </w:p>
    <w:p w14:paraId="742C7D76" w14:textId="77777777" w:rsidR="00DB4B57" w:rsidRPr="00F76F0B" w:rsidRDefault="00DB4B57" w:rsidP="00E27696">
      <w:pPr>
        <w:spacing w:line="480" w:lineRule="auto"/>
        <w:ind w:firstLine="720"/>
        <w:rPr>
          <w:rFonts w:ascii="Times New Roman" w:hAnsi="Times New Roman" w:cs="Times New Roman"/>
        </w:rPr>
      </w:pPr>
      <w:r w:rsidRPr="00F76F0B">
        <w:rPr>
          <w:rFonts w:ascii="Times New Roman" w:hAnsi="Times New Roman" w:cs="Times New Roman"/>
        </w:rPr>
        <w:t>There is, however, another side to this coin. The ultimate goal as far as patent law is concerned is not to protect the individual rights of the patent holder. The ultimate goal of patent law is to promote a public good. It is to ensure that innovation takes place for the good of everyone. The fear is that if you do not compensate people for putting in the blood, sweat, and tears</w:t>
      </w:r>
      <w:r w:rsidRPr="00F76F0B">
        <w:rPr>
          <w:rStyle w:val="FootnoteReference"/>
          <w:rFonts w:ascii="Times New Roman" w:hAnsi="Times New Roman" w:cs="Times New Roman"/>
        </w:rPr>
        <w:footnoteReference w:id="23"/>
      </w:r>
      <w:r w:rsidRPr="00F76F0B">
        <w:rPr>
          <w:rFonts w:ascii="Times New Roman" w:hAnsi="Times New Roman" w:cs="Times New Roman"/>
        </w:rPr>
        <w:t xml:space="preserve"> necessary to see a good idea come to fruition that people will resort to laziness. This assumes that people are naturally lethargic and will not do anything without the thought of somehow being monetarily rewarded or compensated for it. There may be some truth to this. Indeed, the ratio of for profit business to nonprofit business in existence should give some indication as to not only people’s unwillingness to give away free work and time, but also the challenges in doing so. Even if we assume that most people are not lethargic and are kind-hearted, selfless individuals who would have no problem working for years at an idea just to give it away to anyone who wants it in the end, it is not difficult to see that there is a complex money issue with such a system.</w:t>
      </w:r>
    </w:p>
    <w:p w14:paraId="69D5FEBE" w14:textId="77777777" w:rsidR="00DB4B57" w:rsidRPr="00F76F0B" w:rsidRDefault="00DB4B57" w:rsidP="00E27696">
      <w:pPr>
        <w:spacing w:line="480" w:lineRule="auto"/>
        <w:ind w:firstLine="720"/>
        <w:rPr>
          <w:rFonts w:ascii="Times New Roman" w:hAnsi="Times New Roman" w:cs="Times New Roman"/>
        </w:rPr>
      </w:pPr>
      <w:r w:rsidRPr="00F76F0B">
        <w:rPr>
          <w:rFonts w:ascii="Times New Roman" w:hAnsi="Times New Roman" w:cs="Times New Roman"/>
        </w:rPr>
        <w:t>Most inventors simply cannot afford to put in the time and effort to not only come up with a sustainable idea, but also perform the experimentation and implementation necessary to mold the idea into something useful to the public. In another hypothetical, let us assume that the initial idea of the invention is thought of without any effort at all. The inventor (or the individual who initially came up with the idea) could then write up the idea and publish it on the Internet for everyone to see and think about.</w:t>
      </w:r>
      <w:r w:rsidRPr="00F76F0B">
        <w:rPr>
          <w:rStyle w:val="FootnoteReference"/>
          <w:rFonts w:ascii="Times New Roman" w:hAnsi="Times New Roman" w:cs="Times New Roman"/>
        </w:rPr>
        <w:footnoteReference w:id="24"/>
      </w:r>
      <w:r w:rsidRPr="00F76F0B">
        <w:rPr>
          <w:rFonts w:ascii="Times New Roman" w:hAnsi="Times New Roman" w:cs="Times New Roman"/>
        </w:rPr>
        <w:t xml:space="preserve"> This way, individuals who have free time and know-how can take these ideas and put in the time and effort necessary to turn the idea into something useful for the public. One of the problems with such a system, which might work fine on a small scale, is that on a large scale there is a significant imbalance in the way it rewards the inventor of the ideas and the inventor of the product useful to the public. It relies to heavily on the idea that people will continue to give away ideas for free once they see people making a profit by turning their ideas into products. Even if we assume that most people are selfless individuals who always put the public good above their own financial stability, seeing someone else take an idea and turn it into something that not only provides financial stability but also power and fame might have a way of promoting selfishness in even the most selfless inventor. </w:t>
      </w:r>
    </w:p>
    <w:p w14:paraId="5C5F9AC5" w14:textId="7E7C6425" w:rsidR="00DB4B57" w:rsidRPr="00F76F0B" w:rsidRDefault="00DB4B57" w:rsidP="00E27696">
      <w:pPr>
        <w:spacing w:line="480" w:lineRule="auto"/>
        <w:ind w:firstLine="720"/>
        <w:rPr>
          <w:rFonts w:ascii="Times New Roman" w:hAnsi="Times New Roman" w:cs="Times New Roman"/>
        </w:rPr>
      </w:pPr>
      <w:r w:rsidRPr="00F76F0B">
        <w:rPr>
          <w:rFonts w:ascii="Times New Roman" w:hAnsi="Times New Roman" w:cs="Times New Roman"/>
        </w:rPr>
        <w:t xml:space="preserve">Once people begin to see how their ideas, which they gave away for free, were turned into money-making machines, there would be a trend towards figuring out how to hold on to the idea long enough to figure out how to make a profit on it themselves. That method by which inventors may hold on to an idea long enough to figure out how to make a profit on it themselves, even if they do not have to know-how or resources to do so, already exists. It is the patent system that is currently in existence today. Inventors can come up with an idea, perform some very basic proof of concept experimentation, and file for and receive a patent for their efforts. With that patent in their hands inventors could pretty much choose whether or not they wanted to license the technology out, sell the technology outright, or simply prevent others from making, using, and selling the technology until the patent term expires. All of these things were probably weighing heavily on the minds of the Justices sitting on the Supreme Court of the United States while they analyzed the facts and prepared their decision in the eBay v. MercExchange case. The third option of allowing an inventor to sit on his patent rights until he figured out how best to monetize the invention became much more difficult after the Supreme Court rendered their decision. </w:t>
      </w:r>
    </w:p>
    <w:p w14:paraId="051AD9A7" w14:textId="77777777" w:rsidR="00E27696" w:rsidRPr="00F76F0B" w:rsidRDefault="00E27696" w:rsidP="00E27696">
      <w:pPr>
        <w:spacing w:line="480" w:lineRule="auto"/>
        <w:ind w:firstLine="720"/>
        <w:rPr>
          <w:rFonts w:ascii="Times New Roman" w:hAnsi="Times New Roman" w:cs="Times New Roman"/>
        </w:rPr>
      </w:pPr>
    </w:p>
    <w:p w14:paraId="5CAF503B" w14:textId="34DFB5F8" w:rsidR="00E04B3A" w:rsidRPr="00A32150" w:rsidRDefault="00646318" w:rsidP="006C5FA1">
      <w:pPr>
        <w:pStyle w:val="ListParagraph"/>
        <w:numPr>
          <w:ilvl w:val="1"/>
          <w:numId w:val="4"/>
        </w:numPr>
        <w:spacing w:line="480" w:lineRule="auto"/>
        <w:rPr>
          <w:rFonts w:ascii="Times New Roman" w:eastAsia="Times New Roman" w:hAnsi="Times New Roman" w:cs="Times New Roman"/>
          <w:b/>
        </w:rPr>
      </w:pPr>
      <w:r w:rsidRPr="00A32150">
        <w:rPr>
          <w:rFonts w:ascii="Times New Roman" w:eastAsia="Times New Roman" w:hAnsi="Times New Roman" w:cs="Times New Roman"/>
          <w:b/>
        </w:rPr>
        <w:t>The Supreme Court of the United States’ Decision in eBay vs. MercExchange</w:t>
      </w:r>
    </w:p>
    <w:p w14:paraId="754CD785" w14:textId="441AD58B" w:rsidR="00BC2440" w:rsidRPr="00F76F0B" w:rsidRDefault="00707966" w:rsidP="005E56FB">
      <w:pPr>
        <w:spacing w:line="480" w:lineRule="auto"/>
        <w:ind w:firstLine="720"/>
        <w:rPr>
          <w:rFonts w:ascii="Times New Roman" w:eastAsia="Times New Roman" w:hAnsi="Times New Roman" w:cs="Times New Roman"/>
        </w:rPr>
      </w:pPr>
      <w:r w:rsidRPr="00F76F0B">
        <w:rPr>
          <w:rFonts w:ascii="Times New Roman" w:eastAsia="Times New Roman" w:hAnsi="Times New Roman" w:cs="Times New Roman"/>
        </w:rPr>
        <w:t xml:space="preserve">The </w:t>
      </w:r>
      <w:r w:rsidR="00C55933" w:rsidRPr="00F76F0B">
        <w:rPr>
          <w:rFonts w:ascii="Times New Roman" w:eastAsia="Times New Roman" w:hAnsi="Times New Roman" w:cs="Times New Roman"/>
        </w:rPr>
        <w:t>Supreme</w:t>
      </w:r>
      <w:r w:rsidRPr="00F76F0B">
        <w:rPr>
          <w:rFonts w:ascii="Times New Roman" w:eastAsia="Times New Roman" w:hAnsi="Times New Roman" w:cs="Times New Roman"/>
        </w:rPr>
        <w:t xml:space="preserve"> Court </w:t>
      </w:r>
      <w:r w:rsidR="00C55933" w:rsidRPr="00F76F0B">
        <w:rPr>
          <w:rFonts w:ascii="Times New Roman" w:eastAsia="Times New Roman" w:hAnsi="Times New Roman" w:cs="Times New Roman"/>
        </w:rPr>
        <w:t xml:space="preserve">found that neither the lower court nor the Appellate Court had correctly analyzed and decided the case. </w:t>
      </w:r>
      <w:r w:rsidR="00A412AE" w:rsidRPr="00F76F0B">
        <w:rPr>
          <w:rFonts w:ascii="Times New Roman" w:eastAsia="Times New Roman" w:hAnsi="Times New Roman" w:cs="Times New Roman"/>
        </w:rPr>
        <w:t xml:space="preserve">Two </w:t>
      </w:r>
      <w:r w:rsidR="008A091E" w:rsidRPr="00F76F0B">
        <w:rPr>
          <w:rFonts w:ascii="Times New Roman" w:eastAsia="Times New Roman" w:hAnsi="Times New Roman" w:cs="Times New Roman"/>
        </w:rPr>
        <w:t>main</w:t>
      </w:r>
      <w:r w:rsidR="00A412AE" w:rsidRPr="00F76F0B">
        <w:rPr>
          <w:rFonts w:ascii="Times New Roman" w:eastAsia="Times New Roman" w:hAnsi="Times New Roman" w:cs="Times New Roman"/>
        </w:rPr>
        <w:t xml:space="preserve"> ideas immerged from the</w:t>
      </w:r>
      <w:r w:rsidR="00802D82" w:rsidRPr="00F76F0B">
        <w:rPr>
          <w:rFonts w:ascii="Times New Roman" w:eastAsia="Times New Roman" w:hAnsi="Times New Roman" w:cs="Times New Roman"/>
        </w:rPr>
        <w:t xml:space="preserve"> Supreme Court’s</w:t>
      </w:r>
      <w:r w:rsidR="00A412AE" w:rsidRPr="00F76F0B">
        <w:rPr>
          <w:rFonts w:ascii="Times New Roman" w:eastAsia="Times New Roman" w:hAnsi="Times New Roman" w:cs="Times New Roman"/>
        </w:rPr>
        <w:t xml:space="preserve"> decision that continue to shape and transform the way courts today view and apply injunctive remedies</w:t>
      </w:r>
      <w:r w:rsidR="008A091E" w:rsidRPr="00F76F0B">
        <w:rPr>
          <w:rFonts w:ascii="Times New Roman" w:eastAsia="Times New Roman" w:hAnsi="Times New Roman" w:cs="Times New Roman"/>
        </w:rPr>
        <w:t xml:space="preserve"> available to patent holders</w:t>
      </w:r>
      <w:r w:rsidR="00A412AE" w:rsidRPr="00F76F0B">
        <w:rPr>
          <w:rFonts w:ascii="Times New Roman" w:eastAsia="Times New Roman" w:hAnsi="Times New Roman" w:cs="Times New Roman"/>
        </w:rPr>
        <w:t xml:space="preserve">. </w:t>
      </w:r>
      <w:r w:rsidR="008A091E" w:rsidRPr="00F76F0B">
        <w:rPr>
          <w:rFonts w:ascii="Times New Roman" w:eastAsia="Times New Roman" w:hAnsi="Times New Roman" w:cs="Times New Roman"/>
        </w:rPr>
        <w:t xml:space="preserve">The first is that permanent injunctions should no longer be a matter of course. </w:t>
      </w:r>
      <w:r w:rsidR="003B3AED" w:rsidRPr="00F76F0B">
        <w:rPr>
          <w:rFonts w:ascii="Times New Roman" w:eastAsia="Times New Roman" w:hAnsi="Times New Roman" w:cs="Times New Roman"/>
        </w:rPr>
        <w:t xml:space="preserve">The second is that </w:t>
      </w:r>
      <w:r w:rsidR="00095C19" w:rsidRPr="00F76F0B">
        <w:rPr>
          <w:rFonts w:ascii="Times New Roman" w:eastAsia="Times New Roman" w:hAnsi="Times New Roman" w:cs="Times New Roman"/>
        </w:rPr>
        <w:t xml:space="preserve">if the court decides that an injunction is not appropriate, a reasonable royalty rate should be calculated using a variety of </w:t>
      </w:r>
      <w:r w:rsidR="00646318" w:rsidRPr="00F76F0B">
        <w:rPr>
          <w:rFonts w:ascii="Times New Roman" w:eastAsia="Times New Roman" w:hAnsi="Times New Roman" w:cs="Times New Roman"/>
        </w:rPr>
        <w:t xml:space="preserve">known </w:t>
      </w:r>
      <w:r w:rsidR="00095C19" w:rsidRPr="00F76F0B">
        <w:rPr>
          <w:rFonts w:ascii="Times New Roman" w:eastAsia="Times New Roman" w:hAnsi="Times New Roman" w:cs="Times New Roman"/>
        </w:rPr>
        <w:t xml:space="preserve">factors. </w:t>
      </w:r>
    </w:p>
    <w:p w14:paraId="4672B1DD" w14:textId="53CD7208" w:rsidR="005E56FB" w:rsidRPr="00F76F0B" w:rsidRDefault="00095C19" w:rsidP="0017397E">
      <w:pPr>
        <w:spacing w:line="480" w:lineRule="auto"/>
        <w:ind w:firstLine="720"/>
        <w:rPr>
          <w:rFonts w:ascii="Times New Roman" w:eastAsia="Times New Roman" w:hAnsi="Times New Roman" w:cs="Times New Roman"/>
        </w:rPr>
      </w:pPr>
      <w:r w:rsidRPr="00F76F0B">
        <w:rPr>
          <w:rFonts w:ascii="Times New Roman" w:eastAsia="Times New Roman" w:hAnsi="Times New Roman" w:cs="Times New Roman"/>
        </w:rPr>
        <w:t xml:space="preserve">The issue of permanent injunctions no longer being a matter of course represents a significant change to the way the analysis of whether or not to grant an injunction had been approached in the past. </w:t>
      </w:r>
      <w:r w:rsidR="00802D82" w:rsidRPr="00F76F0B">
        <w:rPr>
          <w:rFonts w:ascii="Times New Roman" w:eastAsia="Times New Roman" w:hAnsi="Times New Roman" w:cs="Times New Roman"/>
        </w:rPr>
        <w:t xml:space="preserve">Prior to eBay, courts would </w:t>
      </w:r>
      <w:r w:rsidR="0050486E" w:rsidRPr="00F76F0B">
        <w:rPr>
          <w:rFonts w:ascii="Times New Roman" w:eastAsia="Times New Roman" w:hAnsi="Times New Roman" w:cs="Times New Roman"/>
        </w:rPr>
        <w:t>presume</w:t>
      </w:r>
      <w:r w:rsidR="007E2557" w:rsidRPr="00F76F0B">
        <w:rPr>
          <w:rFonts w:ascii="Times New Roman" w:eastAsia="Times New Roman" w:hAnsi="Times New Roman" w:cs="Times New Roman"/>
        </w:rPr>
        <w:t xml:space="preserve"> irreparable harm if the </w:t>
      </w:r>
      <w:r w:rsidR="00802D82" w:rsidRPr="00F76F0B">
        <w:rPr>
          <w:rFonts w:ascii="Times New Roman" w:eastAsia="Times New Roman" w:hAnsi="Times New Roman" w:cs="Times New Roman"/>
        </w:rPr>
        <w:t>patent holder clearly showed that the patent was valid and t</w:t>
      </w:r>
      <w:r w:rsidR="00C9588F">
        <w:rPr>
          <w:rFonts w:ascii="Times New Roman" w:eastAsia="Times New Roman" w:hAnsi="Times New Roman" w:cs="Times New Roman"/>
        </w:rPr>
        <w:t>hat it</w:t>
      </w:r>
      <w:r w:rsidR="0050486E" w:rsidRPr="00F76F0B">
        <w:rPr>
          <w:rFonts w:ascii="Times New Roman" w:eastAsia="Times New Roman" w:hAnsi="Times New Roman" w:cs="Times New Roman"/>
        </w:rPr>
        <w:t xml:space="preserve"> was being infringed.</w:t>
      </w:r>
      <w:r w:rsidR="0050486E" w:rsidRPr="00F76F0B">
        <w:rPr>
          <w:rStyle w:val="FootnoteReference"/>
          <w:rFonts w:ascii="Times New Roman" w:eastAsia="Times New Roman" w:hAnsi="Times New Roman" w:cs="Times New Roman"/>
        </w:rPr>
        <w:footnoteReference w:id="25"/>
      </w:r>
      <w:r w:rsidRPr="00F76F0B">
        <w:rPr>
          <w:rFonts w:ascii="Times New Roman" w:eastAsia="Times New Roman" w:hAnsi="Times New Roman" w:cs="Times New Roman"/>
        </w:rPr>
        <w:t xml:space="preserve"> On</w:t>
      </w:r>
      <w:r w:rsidR="0017397E" w:rsidRPr="00F76F0B">
        <w:rPr>
          <w:rFonts w:ascii="Times New Roman" w:eastAsia="Times New Roman" w:hAnsi="Times New Roman" w:cs="Times New Roman"/>
        </w:rPr>
        <w:t>ce irreparable harm</w:t>
      </w:r>
      <w:r w:rsidR="007E2557" w:rsidRPr="00F76F0B">
        <w:rPr>
          <w:rFonts w:ascii="Times New Roman" w:eastAsia="Times New Roman" w:hAnsi="Times New Roman" w:cs="Times New Roman"/>
        </w:rPr>
        <w:t xml:space="preserve"> was established, courts were quick to grant a permanent injunction</w:t>
      </w:r>
      <w:r w:rsidRPr="00F76F0B">
        <w:rPr>
          <w:rFonts w:ascii="Times New Roman" w:eastAsia="Times New Roman" w:hAnsi="Times New Roman" w:cs="Times New Roman"/>
        </w:rPr>
        <w:t xml:space="preserve"> to prevent further patent infringement</w:t>
      </w:r>
      <w:r w:rsidR="00023918" w:rsidRPr="00F76F0B">
        <w:rPr>
          <w:rFonts w:ascii="Times New Roman" w:eastAsia="Times New Roman" w:hAnsi="Times New Roman" w:cs="Times New Roman"/>
        </w:rPr>
        <w:t xml:space="preserve"> if the patent holder so requested</w:t>
      </w:r>
      <w:r w:rsidR="007E2557" w:rsidRPr="00F76F0B">
        <w:rPr>
          <w:rFonts w:ascii="Times New Roman" w:eastAsia="Times New Roman" w:hAnsi="Times New Roman" w:cs="Times New Roman"/>
        </w:rPr>
        <w:t>. The decision in eBay succinctly abolished th</w:t>
      </w:r>
      <w:r w:rsidRPr="00F76F0B">
        <w:rPr>
          <w:rFonts w:ascii="Times New Roman" w:eastAsia="Times New Roman" w:hAnsi="Times New Roman" w:cs="Times New Roman"/>
        </w:rPr>
        <w:t xml:space="preserve">at way of thinking in favor of applying </w:t>
      </w:r>
      <w:r w:rsidR="0017397E" w:rsidRPr="00F76F0B">
        <w:rPr>
          <w:rFonts w:ascii="Times New Roman" w:eastAsia="Times New Roman" w:hAnsi="Times New Roman" w:cs="Times New Roman"/>
        </w:rPr>
        <w:t>a four-factor test -</w:t>
      </w:r>
      <w:r w:rsidR="005E56FB" w:rsidRPr="00F76F0B">
        <w:rPr>
          <w:rFonts w:ascii="Times New Roman" w:eastAsia="Times New Roman" w:hAnsi="Times New Roman" w:cs="Times New Roman"/>
        </w:rPr>
        <w:t xml:space="preserve"> “According to well-established principles of equity, a plaintiff seeking a permanent injunction must satisfy a four-factor test before a court may grant such relief. A plaintiff must demonstrate: (1) that it has suffered an irreparable injury; (2) that remedies available at law, such as monetary damages, are inadequate to compensate for that injury; (3) that, considering the balance of hardships between the plaintiff and defendant, a remedy in equity is warranted; and (4) that the public interest would not be disserved by a permanent injunction.”</w:t>
      </w:r>
      <w:r w:rsidR="005E56FB" w:rsidRPr="00F76F0B">
        <w:rPr>
          <w:rStyle w:val="FootnoteReference"/>
          <w:rFonts w:ascii="Times New Roman" w:eastAsia="Times New Roman" w:hAnsi="Times New Roman" w:cs="Times New Roman"/>
        </w:rPr>
        <w:footnoteReference w:id="26"/>
      </w:r>
      <w:r w:rsidR="00A053C9" w:rsidRPr="00F76F0B">
        <w:rPr>
          <w:rFonts w:ascii="Times New Roman" w:eastAsia="Times New Roman" w:hAnsi="Times New Roman" w:cs="Times New Roman"/>
        </w:rPr>
        <w:t xml:space="preserve"> </w:t>
      </w:r>
      <w:r w:rsidR="00E724EB" w:rsidRPr="00F76F0B">
        <w:rPr>
          <w:rFonts w:ascii="Times New Roman" w:eastAsia="Times New Roman" w:hAnsi="Times New Roman" w:cs="Times New Roman"/>
        </w:rPr>
        <w:t xml:space="preserve">In other words, a patent holder must not only demonstrate that an irreparable harm </w:t>
      </w:r>
      <w:r w:rsidR="00023918" w:rsidRPr="00F76F0B">
        <w:rPr>
          <w:rFonts w:ascii="Times New Roman" w:eastAsia="Times New Roman" w:hAnsi="Times New Roman" w:cs="Times New Roman"/>
        </w:rPr>
        <w:t>will</w:t>
      </w:r>
      <w:r w:rsidR="00E724EB" w:rsidRPr="00F76F0B">
        <w:rPr>
          <w:rFonts w:ascii="Times New Roman" w:eastAsia="Times New Roman" w:hAnsi="Times New Roman" w:cs="Times New Roman"/>
        </w:rPr>
        <w:t xml:space="preserve"> </w:t>
      </w:r>
      <w:r w:rsidR="00023918" w:rsidRPr="00F76F0B">
        <w:rPr>
          <w:rFonts w:ascii="Times New Roman" w:eastAsia="Times New Roman" w:hAnsi="Times New Roman" w:cs="Times New Roman"/>
        </w:rPr>
        <w:t>occur</w:t>
      </w:r>
      <w:r w:rsidR="00E724EB" w:rsidRPr="00F76F0B">
        <w:rPr>
          <w:rFonts w:ascii="Times New Roman" w:eastAsia="Times New Roman" w:hAnsi="Times New Roman" w:cs="Times New Roman"/>
        </w:rPr>
        <w:t>, but also that other remedies, such as monetary damages</w:t>
      </w:r>
      <w:r w:rsidR="00E724EB" w:rsidRPr="00F76F0B">
        <w:rPr>
          <w:rStyle w:val="FootnoteReference"/>
          <w:rFonts w:ascii="Times New Roman" w:eastAsia="Times New Roman" w:hAnsi="Times New Roman" w:cs="Times New Roman"/>
        </w:rPr>
        <w:footnoteReference w:id="27"/>
      </w:r>
      <w:r w:rsidR="00E724EB" w:rsidRPr="00F76F0B">
        <w:rPr>
          <w:rFonts w:ascii="Times New Roman" w:eastAsia="Times New Roman" w:hAnsi="Times New Roman" w:cs="Times New Roman"/>
        </w:rPr>
        <w:t xml:space="preserve"> would be insufficient to overcome that harm. </w:t>
      </w:r>
      <w:r w:rsidR="00023918" w:rsidRPr="00F76F0B">
        <w:rPr>
          <w:rFonts w:ascii="Times New Roman" w:eastAsia="Times New Roman" w:hAnsi="Times New Roman" w:cs="Times New Roman"/>
        </w:rPr>
        <w:t xml:space="preserve">A plaintiff would also have the burden of showing that after a careful analysis of the hardships between the plaintiff and defendant that an injunction is the equitable resolution to the dispute and that public interest is best served by the injunction. </w:t>
      </w:r>
    </w:p>
    <w:p w14:paraId="37EC5FBD" w14:textId="1691455A" w:rsidR="005C27C5" w:rsidRPr="00F76F0B" w:rsidRDefault="00EA1A94" w:rsidP="005C27C5">
      <w:pPr>
        <w:spacing w:line="480" w:lineRule="auto"/>
        <w:ind w:firstLine="720"/>
        <w:rPr>
          <w:rFonts w:ascii="Times New Roman" w:hAnsi="Times New Roman" w:cs="Times New Roman"/>
          <w:color w:val="1C1C1C"/>
        </w:rPr>
      </w:pPr>
      <w:r w:rsidRPr="00F76F0B">
        <w:rPr>
          <w:rFonts w:ascii="Times New Roman" w:eastAsia="Times New Roman" w:hAnsi="Times New Roman" w:cs="Times New Roman"/>
        </w:rPr>
        <w:t>The Supreme Court relies heavily on the words of the Patent Act</w:t>
      </w:r>
      <w:r w:rsidRPr="00F76F0B">
        <w:rPr>
          <w:rStyle w:val="FootnoteReference"/>
          <w:rFonts w:ascii="Times New Roman" w:eastAsia="Times New Roman" w:hAnsi="Times New Roman" w:cs="Times New Roman"/>
        </w:rPr>
        <w:footnoteReference w:id="28"/>
      </w:r>
      <w:r w:rsidRPr="00F76F0B">
        <w:rPr>
          <w:rFonts w:ascii="Times New Roman" w:eastAsia="Times New Roman" w:hAnsi="Times New Roman" w:cs="Times New Roman"/>
        </w:rPr>
        <w:t xml:space="preserve"> in making their decision citing reasons of a longstanding tradition in principles of equity. </w:t>
      </w:r>
      <w:r w:rsidRPr="00F76F0B">
        <w:rPr>
          <w:rFonts w:ascii="Times New Roman" w:hAnsi="Times New Roman" w:cs="Times New Roman"/>
          <w:color w:val="1C1C1C"/>
        </w:rPr>
        <w:t>The Court states that “[the four factors stated above] apply with equal force to disputes arising under the Patent Act. As t</w:t>
      </w:r>
      <w:r w:rsidR="008B109D" w:rsidRPr="00F76F0B">
        <w:rPr>
          <w:rFonts w:ascii="Times New Roman" w:hAnsi="Times New Roman" w:cs="Times New Roman"/>
          <w:color w:val="1C1C1C"/>
        </w:rPr>
        <w:t>his Court has long recognized, ‘</w:t>
      </w:r>
      <w:r w:rsidRPr="00F76F0B">
        <w:rPr>
          <w:rFonts w:ascii="Times New Roman" w:hAnsi="Times New Roman" w:cs="Times New Roman"/>
          <w:color w:val="1C1C1C"/>
        </w:rPr>
        <w:t xml:space="preserve">a major departure from the long tradition of equity practice </w:t>
      </w:r>
      <w:r w:rsidR="008B109D" w:rsidRPr="00F76F0B">
        <w:rPr>
          <w:rFonts w:ascii="Times New Roman" w:hAnsi="Times New Roman" w:cs="Times New Roman"/>
          <w:color w:val="1C1C1C"/>
        </w:rPr>
        <w:t>should not be lightly implied.’</w:t>
      </w:r>
      <w:r w:rsidR="008B109D" w:rsidRPr="00F76F0B">
        <w:rPr>
          <w:rStyle w:val="FootnoteReference"/>
          <w:rFonts w:ascii="Times New Roman" w:hAnsi="Times New Roman" w:cs="Times New Roman"/>
          <w:color w:val="1C1C1C"/>
        </w:rPr>
        <w:footnoteReference w:id="29"/>
      </w:r>
      <w:r w:rsidR="008B109D" w:rsidRPr="00F76F0B">
        <w:rPr>
          <w:rFonts w:ascii="Times New Roman" w:hAnsi="Times New Roman" w:cs="Times New Roman"/>
          <w:color w:val="1C1C1C"/>
        </w:rPr>
        <w:t xml:space="preserve"> </w:t>
      </w:r>
      <w:r w:rsidRPr="00F76F0B">
        <w:rPr>
          <w:rFonts w:ascii="Times New Roman" w:hAnsi="Times New Roman" w:cs="Times New Roman"/>
          <w:color w:val="1C1C1C"/>
        </w:rPr>
        <w:t>Nothing in the Patent Act indicates that Congress intended such a departure.</w:t>
      </w:r>
      <w:r w:rsidR="008B109D" w:rsidRPr="00F76F0B">
        <w:rPr>
          <w:rFonts w:ascii="Times New Roman" w:hAnsi="Times New Roman" w:cs="Times New Roman"/>
          <w:color w:val="1C1C1C"/>
        </w:rPr>
        <w:t>”</w:t>
      </w:r>
      <w:r w:rsidR="008B109D" w:rsidRPr="00F76F0B">
        <w:rPr>
          <w:rStyle w:val="FootnoteReference"/>
          <w:rFonts w:ascii="Times New Roman" w:hAnsi="Times New Roman" w:cs="Times New Roman"/>
          <w:color w:val="1C1C1C"/>
        </w:rPr>
        <w:footnoteReference w:id="30"/>
      </w:r>
      <w:r w:rsidR="000D4434" w:rsidRPr="00F76F0B">
        <w:rPr>
          <w:rFonts w:ascii="Times New Roman" w:hAnsi="Times New Roman" w:cs="Times New Roman"/>
          <w:color w:val="1C1C1C"/>
        </w:rPr>
        <w:t xml:space="preserve"> An injunction should not be a given, even if the plaintiff adequately fulfills his burden of proof showing that the patent is valid and infringement has occurred. Instead, the Patent Act expressly provides that injunctions “may” issue “in accordance with the principles of equity.</w:t>
      </w:r>
      <w:r w:rsidR="000D4434" w:rsidRPr="00F76F0B">
        <w:rPr>
          <w:rStyle w:val="FootnoteReference"/>
          <w:rFonts w:ascii="Times New Roman" w:hAnsi="Times New Roman" w:cs="Times New Roman"/>
          <w:color w:val="1C1C1C"/>
        </w:rPr>
        <w:footnoteReference w:id="31"/>
      </w:r>
      <w:r w:rsidR="005C27C5" w:rsidRPr="00F76F0B">
        <w:rPr>
          <w:rFonts w:ascii="Times New Roman" w:hAnsi="Times New Roman" w:cs="Times New Roman"/>
          <w:color w:val="1C1C1C"/>
        </w:rPr>
        <w:t xml:space="preserve"> </w:t>
      </w:r>
    </w:p>
    <w:p w14:paraId="0376A2DB" w14:textId="776444A5" w:rsidR="00224A9D" w:rsidRPr="00F76F0B" w:rsidRDefault="0074275C" w:rsidP="005C27C5">
      <w:pPr>
        <w:spacing w:line="480" w:lineRule="auto"/>
        <w:ind w:firstLine="720"/>
        <w:rPr>
          <w:rFonts w:ascii="Times New Roman" w:eastAsia="Times New Roman" w:hAnsi="Times New Roman" w:cs="Times New Roman"/>
        </w:rPr>
      </w:pPr>
      <w:r w:rsidRPr="00F76F0B">
        <w:rPr>
          <w:rFonts w:ascii="Times New Roman" w:eastAsia="Times New Roman" w:hAnsi="Times New Roman" w:cs="Times New Roman"/>
        </w:rPr>
        <w:t>The Court does not discount the fact that the Patent Act gives a Patent real-property-like attributes</w:t>
      </w:r>
      <w:r w:rsidR="00224A9D" w:rsidRPr="00F76F0B">
        <w:rPr>
          <w:rFonts w:ascii="Times New Roman" w:eastAsia="Times New Roman" w:hAnsi="Times New Roman" w:cs="Times New Roman"/>
        </w:rPr>
        <w:t>. The Patent Act expressly gives a patent holder “the right to exclude others from making, using, offering for sale, or selling the invention throughout the United States or importing the invention into the United States, and, if the invention is a process, of the right to exclude others from using, offering for sale or selling throughout the United States, or importing into the United States, products made by that process, referring to the specification for the particulars thereof.”</w:t>
      </w:r>
      <w:r w:rsidR="00224A9D" w:rsidRPr="00F76F0B">
        <w:rPr>
          <w:rStyle w:val="FootnoteReference"/>
          <w:rFonts w:ascii="Times New Roman" w:eastAsia="Times New Roman" w:hAnsi="Times New Roman" w:cs="Times New Roman"/>
        </w:rPr>
        <w:footnoteReference w:id="32"/>
      </w:r>
      <w:r w:rsidR="00224A9D" w:rsidRPr="00F76F0B">
        <w:rPr>
          <w:rFonts w:ascii="Times" w:eastAsia="Times New Roman" w:hAnsi="Times" w:cs="Times New Roman"/>
          <w:sz w:val="20"/>
          <w:szCs w:val="20"/>
        </w:rPr>
        <w:t xml:space="preserve"> </w:t>
      </w:r>
      <w:r w:rsidR="00BB68B2" w:rsidRPr="00F76F0B">
        <w:rPr>
          <w:rFonts w:ascii="Times New Roman" w:eastAsia="Times New Roman" w:hAnsi="Times New Roman" w:cs="Times New Roman"/>
        </w:rPr>
        <w:t xml:space="preserve">The Court, however, notes that the Court of Appeals was </w:t>
      </w:r>
      <w:r w:rsidR="005C27C5" w:rsidRPr="00F76F0B">
        <w:rPr>
          <w:rFonts w:ascii="Times New Roman" w:eastAsia="Times New Roman" w:hAnsi="Times New Roman" w:cs="Times New Roman"/>
        </w:rPr>
        <w:t>incorrect</w:t>
      </w:r>
      <w:r w:rsidR="00BB68B2" w:rsidRPr="00F76F0B">
        <w:rPr>
          <w:rFonts w:ascii="Times New Roman" w:eastAsia="Times New Roman" w:hAnsi="Times New Roman" w:cs="Times New Roman"/>
        </w:rPr>
        <w:t xml:space="preserve"> to think that the statutory right to exclude others from the patent is enough alone to justify a default rule that favors injunctive relief.</w:t>
      </w:r>
      <w:r w:rsidR="00BB68B2" w:rsidRPr="00F76F0B">
        <w:rPr>
          <w:rStyle w:val="FootnoteReference"/>
          <w:rFonts w:ascii="Times New Roman" w:eastAsia="Times New Roman" w:hAnsi="Times New Roman" w:cs="Times New Roman"/>
        </w:rPr>
        <w:footnoteReference w:id="33"/>
      </w:r>
      <w:r w:rsidR="00BC7AD8" w:rsidRPr="00F76F0B">
        <w:rPr>
          <w:rFonts w:ascii="Times New Roman" w:eastAsia="Times New Roman" w:hAnsi="Times New Roman" w:cs="Times New Roman"/>
        </w:rPr>
        <w:t xml:space="preserve"> </w:t>
      </w:r>
      <w:r w:rsidR="005C27C5" w:rsidRPr="00F76F0B">
        <w:rPr>
          <w:rFonts w:ascii="Times New Roman" w:eastAsia="Times New Roman" w:hAnsi="Times New Roman" w:cs="Times New Roman"/>
        </w:rPr>
        <w:t>Instead, the Court states, “The creation of a right is distinct from the provision of remedies for violations of that right. Indeed, the Patent Act itself indicates that patents shall have the attribu</w:t>
      </w:r>
      <w:r w:rsidR="00806F9B" w:rsidRPr="00F76F0B">
        <w:rPr>
          <w:rFonts w:ascii="Times New Roman" w:eastAsia="Times New Roman" w:hAnsi="Times New Roman" w:cs="Times New Roman"/>
        </w:rPr>
        <w:t>tes of personal property ‘</w:t>
      </w:r>
      <w:r w:rsidR="005C27C5" w:rsidRPr="00F76F0B">
        <w:rPr>
          <w:rFonts w:ascii="Times New Roman" w:eastAsia="Times New Roman" w:hAnsi="Times New Roman" w:cs="Times New Roman"/>
        </w:rPr>
        <w:t>[s]ubject to the provisions of this title,” 35 U.S.C. § 261, including, presumably, the provision that injunctive relief “may” issue only “in accordance</w:t>
      </w:r>
      <w:r w:rsidR="00806F9B" w:rsidRPr="00F76F0B">
        <w:rPr>
          <w:rFonts w:ascii="Times New Roman" w:eastAsia="Times New Roman" w:hAnsi="Times New Roman" w:cs="Times New Roman"/>
        </w:rPr>
        <w:t xml:space="preserve"> with the principles of equity…’</w:t>
      </w:r>
      <w:r w:rsidR="00806F9B" w:rsidRPr="00F76F0B">
        <w:rPr>
          <w:rStyle w:val="FootnoteReference"/>
          <w:rFonts w:ascii="Times New Roman" w:eastAsia="Times New Roman" w:hAnsi="Times New Roman" w:cs="Times New Roman"/>
        </w:rPr>
        <w:footnoteReference w:id="34"/>
      </w:r>
      <w:r w:rsidR="00806F9B" w:rsidRPr="00F76F0B">
        <w:rPr>
          <w:rFonts w:ascii="Times New Roman" w:eastAsia="Times New Roman" w:hAnsi="Times New Roman" w:cs="Times New Roman"/>
        </w:rPr>
        <w:t xml:space="preserve"> ”</w:t>
      </w:r>
      <w:r w:rsidR="005C27C5" w:rsidRPr="00F76F0B">
        <w:rPr>
          <w:rStyle w:val="FootnoteReference"/>
          <w:rFonts w:ascii="Times New Roman" w:eastAsia="Times New Roman" w:hAnsi="Times New Roman" w:cs="Times New Roman"/>
        </w:rPr>
        <w:footnoteReference w:id="35"/>
      </w:r>
      <w:r w:rsidR="00806F9B" w:rsidRPr="00F76F0B">
        <w:rPr>
          <w:rFonts w:ascii="Times New Roman" w:eastAsia="Times New Roman" w:hAnsi="Times New Roman" w:cs="Times New Roman"/>
        </w:rPr>
        <w:t xml:space="preserve"> </w:t>
      </w:r>
    </w:p>
    <w:p w14:paraId="5D6F161B" w14:textId="049EBCB8" w:rsidR="00F06B4D" w:rsidRPr="00F76F0B" w:rsidRDefault="00004AFA" w:rsidP="00C4360A">
      <w:pPr>
        <w:spacing w:line="480" w:lineRule="auto"/>
        <w:ind w:firstLine="720"/>
        <w:rPr>
          <w:rFonts w:ascii="Times New Roman" w:eastAsia="Times New Roman" w:hAnsi="Times New Roman" w:cs="Times New Roman"/>
        </w:rPr>
      </w:pPr>
      <w:r w:rsidRPr="00F76F0B">
        <w:rPr>
          <w:rFonts w:ascii="Times New Roman" w:eastAsia="Times New Roman" w:hAnsi="Times New Roman" w:cs="Times New Roman"/>
        </w:rPr>
        <w:t xml:space="preserve">The Court notes that their treatment of patent law under this approach is the same as the Court’s treatment of copyright law, which like patent </w:t>
      </w:r>
      <w:r w:rsidR="008F0F3E" w:rsidRPr="00F76F0B">
        <w:rPr>
          <w:rFonts w:ascii="Times New Roman" w:eastAsia="Times New Roman" w:hAnsi="Times New Roman" w:cs="Times New Roman"/>
        </w:rPr>
        <w:t>law</w:t>
      </w:r>
      <w:r w:rsidRPr="00F76F0B">
        <w:rPr>
          <w:rFonts w:ascii="Times New Roman" w:eastAsia="Times New Roman" w:hAnsi="Times New Roman" w:cs="Times New Roman"/>
        </w:rPr>
        <w:t xml:space="preserve"> </w:t>
      </w:r>
      <w:r w:rsidR="008F0F3E" w:rsidRPr="00F76F0B">
        <w:rPr>
          <w:rFonts w:ascii="Times New Roman" w:eastAsia="Times New Roman" w:hAnsi="Times New Roman" w:cs="Times New Roman"/>
        </w:rPr>
        <w:t>gives a copyright holder the right to exclude others from using the copyrighted property.</w:t>
      </w:r>
      <w:r w:rsidR="008F0F3E" w:rsidRPr="00F76F0B">
        <w:rPr>
          <w:rStyle w:val="FootnoteReference"/>
          <w:rFonts w:ascii="Times New Roman" w:eastAsia="Times New Roman" w:hAnsi="Times New Roman" w:cs="Times New Roman"/>
        </w:rPr>
        <w:footnoteReference w:id="36"/>
      </w:r>
      <w:r w:rsidR="00166A07" w:rsidRPr="00F76F0B">
        <w:rPr>
          <w:rFonts w:ascii="Times New Roman" w:eastAsia="Times New Roman" w:hAnsi="Times New Roman" w:cs="Times New Roman"/>
        </w:rPr>
        <w:t xml:space="preserve"> The Court “has consistently rejected invitations to replace traditional equitable considerations with a rule that an injunction automatically follows a determination that a copyright has been infringed</w:t>
      </w:r>
      <w:r w:rsidR="00295959" w:rsidRPr="00F76F0B">
        <w:rPr>
          <w:rFonts w:ascii="Times New Roman" w:eastAsia="Times New Roman" w:hAnsi="Times New Roman" w:cs="Times New Roman"/>
        </w:rPr>
        <w:t>.”</w:t>
      </w:r>
      <w:r w:rsidR="00295959" w:rsidRPr="00F76F0B">
        <w:rPr>
          <w:rStyle w:val="FootnoteReference"/>
          <w:rFonts w:ascii="Times New Roman" w:eastAsia="Times New Roman" w:hAnsi="Times New Roman" w:cs="Times New Roman"/>
        </w:rPr>
        <w:footnoteReference w:id="37"/>
      </w:r>
      <w:r w:rsidR="00A46FAD" w:rsidRPr="00F76F0B">
        <w:rPr>
          <w:rFonts w:ascii="Times New Roman" w:eastAsia="Times New Roman" w:hAnsi="Times New Roman" w:cs="Times New Roman"/>
        </w:rPr>
        <w:t xml:space="preserve"> </w:t>
      </w:r>
      <w:r w:rsidR="002112DD" w:rsidRPr="00F76F0B">
        <w:rPr>
          <w:rFonts w:ascii="Times New Roman" w:eastAsia="Times New Roman" w:hAnsi="Times New Roman" w:cs="Times New Roman"/>
        </w:rPr>
        <w:t xml:space="preserve">The court notes that while the District Court did apply the traditional four-factor test, they were too broad in their interpretation of the factors, especially with regard to </w:t>
      </w:r>
      <w:r w:rsidR="00F06B4D" w:rsidRPr="00F76F0B">
        <w:rPr>
          <w:rFonts w:ascii="Times New Roman" w:eastAsia="Times New Roman" w:hAnsi="Times New Roman" w:cs="Times New Roman"/>
        </w:rPr>
        <w:t>the irreparable harm factor. The District Court “appeared to adopt certain expansive principles suggesting that injunctive relief could not issue in a broad swath of cases.</w:t>
      </w:r>
      <w:r w:rsidR="00C1081D" w:rsidRPr="00F76F0B">
        <w:rPr>
          <w:rFonts w:ascii="Times New Roman" w:eastAsia="Times New Roman" w:hAnsi="Times New Roman" w:cs="Times New Roman"/>
        </w:rPr>
        <w:t>”</w:t>
      </w:r>
      <w:r w:rsidR="00C1081D" w:rsidRPr="00F76F0B">
        <w:rPr>
          <w:rStyle w:val="FootnoteReference"/>
          <w:rFonts w:ascii="Times New Roman" w:eastAsia="Times New Roman" w:hAnsi="Times New Roman" w:cs="Times New Roman"/>
        </w:rPr>
        <w:footnoteReference w:id="38"/>
      </w:r>
      <w:r w:rsidR="00C1081D" w:rsidRPr="00F76F0B">
        <w:rPr>
          <w:rFonts w:ascii="Times New Roman" w:eastAsia="Times New Roman" w:hAnsi="Times New Roman" w:cs="Times New Roman"/>
        </w:rPr>
        <w:t xml:space="preserve"> The Court </w:t>
      </w:r>
      <w:r w:rsidR="00C4360A" w:rsidRPr="00F76F0B">
        <w:rPr>
          <w:rFonts w:ascii="Times New Roman" w:eastAsia="Times New Roman" w:hAnsi="Times New Roman" w:cs="Times New Roman"/>
        </w:rPr>
        <w:t xml:space="preserve">indicates </w:t>
      </w:r>
      <w:r w:rsidR="00C1081D" w:rsidRPr="00F76F0B">
        <w:rPr>
          <w:rFonts w:ascii="Times New Roman" w:eastAsia="Times New Roman" w:hAnsi="Times New Roman" w:cs="Times New Roman"/>
        </w:rPr>
        <w:t xml:space="preserve">the </w:t>
      </w:r>
      <w:r w:rsidR="00C4360A" w:rsidRPr="00F76F0B">
        <w:rPr>
          <w:rFonts w:ascii="Times New Roman" w:eastAsia="Times New Roman" w:hAnsi="Times New Roman" w:cs="Times New Roman"/>
        </w:rPr>
        <w:t>true</w:t>
      </w:r>
      <w:r w:rsidR="00C1081D" w:rsidRPr="00F76F0B">
        <w:rPr>
          <w:rFonts w:ascii="Times New Roman" w:eastAsia="Times New Roman" w:hAnsi="Times New Roman" w:cs="Times New Roman"/>
        </w:rPr>
        <w:t xml:space="preserve"> issue at hand </w:t>
      </w:r>
      <w:r w:rsidR="00C4360A" w:rsidRPr="00F76F0B">
        <w:rPr>
          <w:rFonts w:ascii="Times New Roman" w:eastAsia="Times New Roman" w:hAnsi="Times New Roman" w:cs="Times New Roman"/>
        </w:rPr>
        <w:t xml:space="preserve">in the District Court’s decision </w:t>
      </w:r>
      <w:r w:rsidR="00C1081D" w:rsidRPr="00F76F0B">
        <w:rPr>
          <w:rFonts w:ascii="Times New Roman" w:eastAsia="Times New Roman" w:hAnsi="Times New Roman" w:cs="Times New Roman"/>
        </w:rPr>
        <w:t>by noting that “</w:t>
      </w:r>
      <w:r w:rsidR="00F06B4D" w:rsidRPr="00F76F0B">
        <w:rPr>
          <w:rFonts w:ascii="Times New Roman" w:eastAsia="Times New Roman" w:hAnsi="Times New Roman" w:cs="Times New Roman"/>
        </w:rPr>
        <w:t>it concluded that a ‘plaintiff's willingness to license its patents’ and ‘its lack of commercial activity in practicing the patents’</w:t>
      </w:r>
      <w:r w:rsidR="00F06B4D" w:rsidRPr="00F76F0B">
        <w:rPr>
          <w:rStyle w:val="FootnoteReference"/>
          <w:rFonts w:ascii="Times New Roman" w:eastAsia="Times New Roman" w:hAnsi="Times New Roman" w:cs="Times New Roman"/>
        </w:rPr>
        <w:footnoteReference w:id="39"/>
      </w:r>
      <w:r w:rsidR="00F06B4D" w:rsidRPr="00F76F0B">
        <w:rPr>
          <w:rFonts w:ascii="Times New Roman" w:eastAsia="Times New Roman" w:hAnsi="Times New Roman" w:cs="Times New Roman"/>
        </w:rPr>
        <w:t xml:space="preserve"> would be sufficient to establish that the patent holder would not suffer irreparable harm if an injunction did not issue.”</w:t>
      </w:r>
      <w:r w:rsidR="00F06B4D" w:rsidRPr="00F76F0B">
        <w:rPr>
          <w:rStyle w:val="FootnoteReference"/>
          <w:rFonts w:ascii="Times New Roman" w:eastAsia="Times New Roman" w:hAnsi="Times New Roman" w:cs="Times New Roman"/>
        </w:rPr>
        <w:footnoteReference w:id="40"/>
      </w:r>
      <w:r w:rsidR="00C4360A" w:rsidRPr="00F76F0B">
        <w:rPr>
          <w:rFonts w:ascii="Times New Roman" w:eastAsia="Times New Roman" w:hAnsi="Times New Roman" w:cs="Times New Roman"/>
        </w:rPr>
        <w:t xml:space="preserve"> Here, the Supreme Court indicates that the traditional four-fact</w:t>
      </w:r>
      <w:r w:rsidR="005C1967">
        <w:rPr>
          <w:rFonts w:ascii="Times New Roman" w:eastAsia="Times New Roman" w:hAnsi="Times New Roman" w:cs="Times New Roman"/>
        </w:rPr>
        <w:t xml:space="preserve">or test should be interpreted </w:t>
      </w:r>
      <w:r w:rsidR="00C4360A" w:rsidRPr="00F76F0B">
        <w:rPr>
          <w:rFonts w:ascii="Times New Roman" w:eastAsia="Times New Roman" w:hAnsi="Times New Roman" w:cs="Times New Roman"/>
        </w:rPr>
        <w:t xml:space="preserve">more narrowly than the </w:t>
      </w:r>
      <w:r w:rsidR="005C1967">
        <w:rPr>
          <w:rFonts w:ascii="Times New Roman" w:eastAsia="Times New Roman" w:hAnsi="Times New Roman" w:cs="Times New Roman"/>
        </w:rPr>
        <w:t xml:space="preserve">interpretation given </w:t>
      </w:r>
      <w:r w:rsidR="00C4360A" w:rsidRPr="00F76F0B">
        <w:rPr>
          <w:rFonts w:ascii="Times New Roman" w:eastAsia="Times New Roman" w:hAnsi="Times New Roman" w:cs="Times New Roman"/>
        </w:rPr>
        <w:t xml:space="preserve">by the District Court. </w:t>
      </w:r>
    </w:p>
    <w:p w14:paraId="414FCCD6" w14:textId="2A3DF752" w:rsidR="008B109D" w:rsidRPr="00F76F0B" w:rsidRDefault="00C4360A" w:rsidP="005857A2">
      <w:pPr>
        <w:spacing w:line="480" w:lineRule="auto"/>
        <w:ind w:firstLine="720"/>
        <w:rPr>
          <w:rFonts w:ascii="Times New Roman" w:eastAsia="Times New Roman" w:hAnsi="Times New Roman" w:cs="Times New Roman"/>
        </w:rPr>
      </w:pPr>
      <w:r w:rsidRPr="00F76F0B">
        <w:rPr>
          <w:rFonts w:ascii="Times New Roman" w:eastAsia="Times New Roman" w:hAnsi="Times New Roman" w:cs="Times New Roman"/>
        </w:rPr>
        <w:t xml:space="preserve">On the other hand, the Supreme Court </w:t>
      </w:r>
      <w:r w:rsidR="00111177" w:rsidRPr="00F76F0B">
        <w:rPr>
          <w:rFonts w:ascii="Times New Roman" w:eastAsia="Times New Roman" w:hAnsi="Times New Roman" w:cs="Times New Roman"/>
        </w:rPr>
        <w:t xml:space="preserve">notes that the Court of Appeals departed from the traditional four-factor test </w:t>
      </w:r>
      <w:r w:rsidR="00871528" w:rsidRPr="00F76F0B">
        <w:rPr>
          <w:rFonts w:ascii="Times New Roman" w:eastAsia="Times New Roman" w:hAnsi="Times New Roman" w:cs="Times New Roman"/>
        </w:rPr>
        <w:t>when it articulated</w:t>
      </w:r>
      <w:r w:rsidR="00111177" w:rsidRPr="00F76F0B">
        <w:rPr>
          <w:rFonts w:ascii="Times New Roman" w:eastAsia="Times New Roman" w:hAnsi="Times New Roman" w:cs="Times New Roman"/>
        </w:rPr>
        <w:t xml:space="preserve"> its own general rule</w:t>
      </w:r>
      <w:r w:rsidR="00DD740A" w:rsidRPr="00F76F0B">
        <w:rPr>
          <w:rFonts w:ascii="Times New Roman" w:eastAsia="Times New Roman" w:hAnsi="Times New Roman" w:cs="Times New Roman"/>
        </w:rPr>
        <w:t xml:space="preserve">, and that the departure was </w:t>
      </w:r>
      <w:r w:rsidR="004F09EB" w:rsidRPr="00F76F0B">
        <w:rPr>
          <w:rFonts w:ascii="Times New Roman" w:eastAsia="Times New Roman" w:hAnsi="Times New Roman" w:cs="Times New Roman"/>
        </w:rPr>
        <w:t>ill-advised</w:t>
      </w:r>
      <w:r w:rsidR="0002271A" w:rsidRPr="00F76F0B">
        <w:rPr>
          <w:rFonts w:ascii="Times New Roman" w:eastAsia="Times New Roman" w:hAnsi="Times New Roman" w:cs="Times New Roman"/>
        </w:rPr>
        <w:t xml:space="preserve"> one. </w:t>
      </w:r>
      <w:r w:rsidR="00987DE0" w:rsidRPr="00F76F0B">
        <w:rPr>
          <w:rFonts w:ascii="Times New Roman" w:eastAsia="Times New Roman" w:hAnsi="Times New Roman" w:cs="Times New Roman"/>
        </w:rPr>
        <w:t>The Supreme Court noted tha</w:t>
      </w:r>
      <w:r w:rsidR="000105DF">
        <w:rPr>
          <w:rFonts w:ascii="Times New Roman" w:eastAsia="Times New Roman" w:hAnsi="Times New Roman" w:cs="Times New Roman"/>
        </w:rPr>
        <w:t>t the Court of Appeals’ rule, “</w:t>
      </w:r>
      <w:r w:rsidR="00987DE0" w:rsidRPr="00F76F0B">
        <w:rPr>
          <w:rFonts w:ascii="Times New Roman" w:eastAsia="Times New Roman" w:hAnsi="Times New Roman" w:cs="Times New Roman"/>
        </w:rPr>
        <w:t>that a permanent injunction will issue once infringement and validity have been adjudged,”</w:t>
      </w:r>
      <w:r w:rsidR="00987DE0" w:rsidRPr="00F76F0B">
        <w:rPr>
          <w:rStyle w:val="FootnoteReference"/>
          <w:rFonts w:ascii="Times New Roman" w:eastAsia="Times New Roman" w:hAnsi="Times New Roman" w:cs="Times New Roman"/>
        </w:rPr>
        <w:footnoteReference w:id="41"/>
      </w:r>
      <w:r w:rsidR="00987DE0" w:rsidRPr="00F76F0B">
        <w:rPr>
          <w:rFonts w:ascii="Times New Roman" w:eastAsia="Times New Roman" w:hAnsi="Times New Roman" w:cs="Times New Roman"/>
        </w:rPr>
        <w:t xml:space="preserve"> </w:t>
      </w:r>
      <w:r w:rsidR="005C38CE" w:rsidRPr="00F76F0B">
        <w:rPr>
          <w:rFonts w:ascii="Times New Roman" w:eastAsia="Times New Roman" w:hAnsi="Times New Roman" w:cs="Times New Roman"/>
        </w:rPr>
        <w:t>was in error because of its “</w:t>
      </w:r>
      <w:r w:rsidR="005C38CE" w:rsidRPr="00F76F0B">
        <w:rPr>
          <w:rFonts w:ascii="Times New Roman" w:hAnsi="Times New Roman" w:cs="Times New Roman"/>
          <w:color w:val="1C1C1C"/>
        </w:rPr>
        <w:t>categorical grant of such relief.”</w:t>
      </w:r>
      <w:r w:rsidR="005C38CE" w:rsidRPr="00F76F0B">
        <w:rPr>
          <w:rStyle w:val="FootnoteReference"/>
          <w:rFonts w:ascii="Times New Roman" w:hAnsi="Times New Roman" w:cs="Times New Roman"/>
          <w:color w:val="1C1C1C"/>
        </w:rPr>
        <w:footnoteReference w:id="42"/>
      </w:r>
      <w:r w:rsidR="005C38CE" w:rsidRPr="00F76F0B">
        <w:rPr>
          <w:rFonts w:ascii="Times New Roman" w:hAnsi="Times New Roman" w:cs="Times New Roman"/>
          <w:color w:val="1C1C1C"/>
        </w:rPr>
        <w:t xml:space="preserve"> In other words, the Supreme Court stated that while the District Court’s ruling to not grant injunctive relief was to</w:t>
      </w:r>
      <w:r w:rsidR="00877E2C">
        <w:rPr>
          <w:rFonts w:ascii="Times New Roman" w:hAnsi="Times New Roman" w:cs="Times New Roman"/>
          <w:color w:val="1C1C1C"/>
        </w:rPr>
        <w:t>o</w:t>
      </w:r>
      <w:r w:rsidR="005C38CE" w:rsidRPr="00F76F0B">
        <w:rPr>
          <w:rFonts w:ascii="Times New Roman" w:hAnsi="Times New Roman" w:cs="Times New Roman"/>
          <w:color w:val="1C1C1C"/>
        </w:rPr>
        <w:t xml:space="preserve"> narrow, </w:t>
      </w:r>
      <w:r w:rsidR="00010981" w:rsidRPr="00F76F0B">
        <w:rPr>
          <w:rFonts w:ascii="Times New Roman" w:hAnsi="Times New Roman" w:cs="Times New Roman"/>
          <w:color w:val="1C1C1C"/>
        </w:rPr>
        <w:t xml:space="preserve">the Court of Appeals’ ruling was too broad in granting the sought-after injunctive relief. </w:t>
      </w:r>
      <w:r w:rsidR="0063618A" w:rsidRPr="00F76F0B">
        <w:rPr>
          <w:rFonts w:ascii="Times New Roman" w:hAnsi="Times New Roman" w:cs="Times New Roman"/>
          <w:color w:val="1C1C1C"/>
        </w:rPr>
        <w:t>The Supreme Court stated that n</w:t>
      </w:r>
      <w:r w:rsidR="00E43BB7" w:rsidRPr="00F76F0B">
        <w:rPr>
          <w:rFonts w:ascii="Times New Roman" w:hAnsi="Times New Roman" w:cs="Times New Roman"/>
          <w:color w:val="1C1C1C"/>
        </w:rPr>
        <w:t>either court correctly applied the four-</w:t>
      </w:r>
      <w:r w:rsidR="0063618A" w:rsidRPr="00F76F0B">
        <w:rPr>
          <w:rFonts w:ascii="Times New Roman" w:hAnsi="Times New Roman" w:cs="Times New Roman"/>
          <w:color w:val="1C1C1C"/>
        </w:rPr>
        <w:t>factor test above, and</w:t>
      </w:r>
      <w:r w:rsidR="00E43BB7" w:rsidRPr="00F76F0B">
        <w:rPr>
          <w:rFonts w:ascii="Times New Roman" w:hAnsi="Times New Roman" w:cs="Times New Roman"/>
          <w:color w:val="1C1C1C"/>
        </w:rPr>
        <w:t xml:space="preserve"> </w:t>
      </w:r>
      <w:r w:rsidR="0063618A" w:rsidRPr="00F76F0B">
        <w:rPr>
          <w:rFonts w:ascii="Times New Roman" w:hAnsi="Times New Roman" w:cs="Times New Roman"/>
          <w:color w:val="1C1C1C"/>
        </w:rPr>
        <w:t>instead held that “</w:t>
      </w:r>
      <w:r w:rsidR="0063618A" w:rsidRPr="00F76F0B">
        <w:rPr>
          <w:rFonts w:ascii="Times New Roman" w:eastAsia="Times New Roman" w:hAnsi="Times New Roman" w:cs="Times New Roman"/>
        </w:rPr>
        <w:t>the decision whether to grant or deny injunctive relief rests within the equitable discretion of the district courts, and that such discretion must be exercised consistent with traditional principles of equity, in patent disputes no less than in other cases governed by such standards.”</w:t>
      </w:r>
      <w:r w:rsidR="0063618A" w:rsidRPr="00F76F0B">
        <w:rPr>
          <w:rStyle w:val="FootnoteReference"/>
          <w:rFonts w:ascii="Times New Roman" w:eastAsia="Times New Roman" w:hAnsi="Times New Roman" w:cs="Times New Roman"/>
        </w:rPr>
        <w:footnoteReference w:id="43"/>
      </w:r>
      <w:r w:rsidR="005857A2" w:rsidRPr="00F76F0B">
        <w:rPr>
          <w:rFonts w:ascii="Times New Roman" w:eastAsia="Times New Roman" w:hAnsi="Times New Roman" w:cs="Times New Roman"/>
        </w:rPr>
        <w:t xml:space="preserve"> The Supreme Court’s decision in this case would prove to be the guidepost by with all injunctive relief questions would be navigated.</w:t>
      </w:r>
      <w:r w:rsidR="004A0191">
        <w:rPr>
          <w:rStyle w:val="FootnoteReference"/>
          <w:rFonts w:ascii="Times New Roman" w:eastAsia="Times New Roman" w:hAnsi="Times New Roman" w:cs="Times New Roman"/>
        </w:rPr>
        <w:footnoteReference w:id="44"/>
      </w:r>
    </w:p>
    <w:p w14:paraId="4B3EC40A" w14:textId="77777777" w:rsidR="00E95E5C" w:rsidRPr="00F76F0B" w:rsidRDefault="00E95E5C" w:rsidP="005857A2">
      <w:pPr>
        <w:spacing w:line="480" w:lineRule="auto"/>
        <w:ind w:firstLine="720"/>
        <w:rPr>
          <w:rFonts w:ascii="Times New Roman" w:eastAsia="Times New Roman" w:hAnsi="Times New Roman" w:cs="Times New Roman"/>
        </w:rPr>
      </w:pPr>
    </w:p>
    <w:p w14:paraId="41F39018" w14:textId="73D33BDD" w:rsidR="00E95E5C" w:rsidRPr="00A32150" w:rsidRDefault="00E95E5C" w:rsidP="00E95E5C">
      <w:pPr>
        <w:pStyle w:val="ListParagraph"/>
        <w:numPr>
          <w:ilvl w:val="1"/>
          <w:numId w:val="4"/>
        </w:numPr>
        <w:spacing w:line="480" w:lineRule="auto"/>
        <w:rPr>
          <w:rFonts w:ascii="Times New Roman" w:eastAsia="Times New Roman" w:hAnsi="Times New Roman" w:cs="Times New Roman"/>
          <w:b/>
        </w:rPr>
      </w:pPr>
      <w:r w:rsidRPr="00A32150">
        <w:rPr>
          <w:rFonts w:ascii="Times New Roman" w:eastAsia="Times New Roman" w:hAnsi="Times New Roman" w:cs="Times New Roman"/>
          <w:b/>
        </w:rPr>
        <w:t>Possible Rationale behind the Supreme Court’s Decision in eBay v. MercExchange</w:t>
      </w:r>
    </w:p>
    <w:p w14:paraId="5A7BA6FD" w14:textId="385BADBA" w:rsidR="005857A2" w:rsidRDefault="004C7E33" w:rsidP="005857A2">
      <w:pPr>
        <w:spacing w:line="480" w:lineRule="auto"/>
        <w:ind w:firstLine="720"/>
        <w:rPr>
          <w:rFonts w:ascii="Times New Roman" w:hAnsi="Times New Roman" w:cs="Times New Roman"/>
        </w:rPr>
      </w:pPr>
      <w:r>
        <w:rPr>
          <w:rFonts w:ascii="Times New Roman" w:eastAsia="Times New Roman" w:hAnsi="Times New Roman" w:cs="Times New Roman"/>
        </w:rPr>
        <w:t xml:space="preserve">In the years leading up to the eBay decision there was a phrase traveling around the patent community like wildfire. The phrase was “patent troll.” Since </w:t>
      </w:r>
      <w:r w:rsidR="004267F0">
        <w:rPr>
          <w:rFonts w:ascii="Times New Roman" w:eastAsia="Times New Roman" w:hAnsi="Times New Roman" w:cs="Times New Roman"/>
        </w:rPr>
        <w:t xml:space="preserve">then they have been </w:t>
      </w:r>
      <w:r>
        <w:rPr>
          <w:rFonts w:ascii="Times New Roman" w:eastAsia="Times New Roman" w:hAnsi="Times New Roman" w:cs="Times New Roman"/>
        </w:rPr>
        <w:t xml:space="preserve">renamed to non-practicing entities (NPE) and again to patent assertion entities (PAE) </w:t>
      </w:r>
      <w:r w:rsidR="004267F0">
        <w:rPr>
          <w:rFonts w:ascii="Times New Roman" w:eastAsia="Times New Roman" w:hAnsi="Times New Roman" w:cs="Times New Roman"/>
        </w:rPr>
        <w:t xml:space="preserve">although </w:t>
      </w:r>
      <w:r>
        <w:rPr>
          <w:rFonts w:ascii="Times New Roman" w:eastAsia="Times New Roman" w:hAnsi="Times New Roman" w:cs="Times New Roman"/>
        </w:rPr>
        <w:t xml:space="preserve">their function and purpose have remained the same. </w:t>
      </w:r>
      <w:r w:rsidR="00C947EE">
        <w:rPr>
          <w:rFonts w:ascii="Times New Roman" w:eastAsia="Times New Roman" w:hAnsi="Times New Roman" w:cs="Times New Roman"/>
        </w:rPr>
        <w:t xml:space="preserve">PAEs make money by acquiring patents at a relatively low price, holding on to the patent rights by keeping up to date on maintenance fees, and bringing suit against anyone and everyone who is deemed to be infringing. PAEs have no intention of doing anything with the technology guarded by the patent except for sitting on it and using it as a sword against other and oftentimes much bigger </w:t>
      </w:r>
      <w:r w:rsidR="00C947EE" w:rsidRPr="004267F0">
        <w:rPr>
          <w:rFonts w:ascii="Times New Roman" w:eastAsia="Times New Roman" w:hAnsi="Times New Roman" w:cs="Times New Roman"/>
        </w:rPr>
        <w:t xml:space="preserve">companies. </w:t>
      </w:r>
      <w:r w:rsidR="004267F0" w:rsidRPr="004267F0">
        <w:rPr>
          <w:rFonts w:ascii="Times New Roman" w:eastAsia="Times New Roman" w:hAnsi="Times New Roman" w:cs="Times New Roman"/>
        </w:rPr>
        <w:t>“</w:t>
      </w:r>
      <w:r w:rsidR="004267F0" w:rsidRPr="004267F0">
        <w:rPr>
          <w:rFonts w:ascii="Times New Roman" w:hAnsi="Times New Roman" w:cs="Times New Roman"/>
        </w:rPr>
        <w:t>A patent troll</w:t>
      </w:r>
      <w:r w:rsidR="004267F0">
        <w:rPr>
          <w:rFonts w:ascii="Times New Roman" w:hAnsi="Times New Roman" w:cs="Times New Roman"/>
        </w:rPr>
        <w:t xml:space="preserve"> (PAE)</w:t>
      </w:r>
      <w:r w:rsidR="004267F0" w:rsidRPr="004267F0">
        <w:rPr>
          <w:rFonts w:ascii="Times New Roman" w:hAnsi="Times New Roman" w:cs="Times New Roman"/>
        </w:rPr>
        <w:t xml:space="preserve"> uses patents as legal weapons, instead of actually creating any new products or coming up with new ideas. Instead, trolls are in the business of litigation (or even just threatening litigation). They often buy up patents cheaply from companies down on their luck who are looking to monetize what resources they have left, such as patents.”</w:t>
      </w:r>
      <w:r w:rsidR="004267F0">
        <w:rPr>
          <w:rStyle w:val="FootnoteReference"/>
          <w:rFonts w:ascii="Times New Roman" w:hAnsi="Times New Roman" w:cs="Times New Roman"/>
        </w:rPr>
        <w:footnoteReference w:id="45"/>
      </w:r>
    </w:p>
    <w:p w14:paraId="1AE332FE" w14:textId="5DBCA8FF" w:rsidR="0051409C" w:rsidRDefault="0051409C" w:rsidP="005857A2">
      <w:pPr>
        <w:spacing w:line="480" w:lineRule="auto"/>
        <w:ind w:firstLine="720"/>
        <w:rPr>
          <w:rFonts w:ascii="Times New Roman" w:hAnsi="Times New Roman" w:cs="Times New Roman"/>
        </w:rPr>
      </w:pPr>
      <w:r>
        <w:rPr>
          <w:rFonts w:ascii="Times New Roman" w:hAnsi="Times New Roman" w:cs="Times New Roman"/>
        </w:rPr>
        <w:t xml:space="preserve">PAEs have existed for long before eBay was decided. </w:t>
      </w:r>
      <w:r w:rsidR="00C15CA3">
        <w:rPr>
          <w:rFonts w:ascii="Times New Roman" w:hAnsi="Times New Roman" w:cs="Times New Roman"/>
        </w:rPr>
        <w:t xml:space="preserve">Jerome Lemelson was one of the early pioneers in the PAE space and acquired more than 600 patents </w:t>
      </w:r>
      <w:r w:rsidR="00C96694">
        <w:rPr>
          <w:rFonts w:ascii="Times New Roman" w:hAnsi="Times New Roman" w:cs="Times New Roman"/>
        </w:rPr>
        <w:t xml:space="preserve">from the early 1950’s to </w:t>
      </w:r>
      <w:r w:rsidR="00C15CA3">
        <w:rPr>
          <w:rFonts w:ascii="Times New Roman" w:hAnsi="Times New Roman" w:cs="Times New Roman"/>
        </w:rPr>
        <w:t>the time he passed away in 1997.</w:t>
      </w:r>
      <w:r w:rsidR="00C15CA3">
        <w:rPr>
          <w:rStyle w:val="FootnoteReference"/>
          <w:rFonts w:ascii="Times New Roman" w:hAnsi="Times New Roman" w:cs="Times New Roman"/>
        </w:rPr>
        <w:footnoteReference w:id="46"/>
      </w:r>
      <w:r w:rsidR="004A091E">
        <w:rPr>
          <w:rFonts w:ascii="Times New Roman" w:hAnsi="Times New Roman" w:cs="Times New Roman"/>
        </w:rPr>
        <w:t xml:space="preserve"> It is likely, however, that with the new age of the internet coming into full swing in t</w:t>
      </w:r>
      <w:r w:rsidR="00A3605A">
        <w:rPr>
          <w:rFonts w:ascii="Times New Roman" w:hAnsi="Times New Roman" w:cs="Times New Roman"/>
        </w:rPr>
        <w:t xml:space="preserve">he early 2000’s, that hopeful </w:t>
      </w:r>
      <w:r w:rsidR="004A091E">
        <w:rPr>
          <w:rFonts w:ascii="Times New Roman" w:hAnsi="Times New Roman" w:cs="Times New Roman"/>
        </w:rPr>
        <w:t xml:space="preserve">PAEs began seeing the potential gold mine that software patents provided to PAEs. </w:t>
      </w:r>
      <w:r w:rsidR="0025776C">
        <w:rPr>
          <w:rFonts w:ascii="Times New Roman" w:hAnsi="Times New Roman" w:cs="Times New Roman"/>
        </w:rPr>
        <w:t>Indeed, we do see a steady rise of</w:t>
      </w:r>
      <w:r w:rsidR="00F5082A">
        <w:rPr>
          <w:rFonts w:ascii="Times New Roman" w:hAnsi="Times New Roman" w:cs="Times New Roman"/>
        </w:rPr>
        <w:t xml:space="preserve"> infringement</w:t>
      </w:r>
      <w:r w:rsidR="0025776C">
        <w:rPr>
          <w:rFonts w:ascii="Times New Roman" w:hAnsi="Times New Roman" w:cs="Times New Roman"/>
        </w:rPr>
        <w:t xml:space="preserve"> suits brought by PAEs </w:t>
      </w:r>
      <w:r w:rsidR="00727D3B">
        <w:rPr>
          <w:rFonts w:ascii="Times New Roman" w:hAnsi="Times New Roman" w:cs="Times New Roman"/>
        </w:rPr>
        <w:t>from the year 2000 on with a sharp increase in 2005 when the eBay case was decided.</w:t>
      </w:r>
      <w:r w:rsidR="00727D3B">
        <w:rPr>
          <w:rStyle w:val="FootnoteReference"/>
          <w:rFonts w:ascii="Times New Roman" w:hAnsi="Times New Roman" w:cs="Times New Roman"/>
        </w:rPr>
        <w:footnoteReference w:id="47"/>
      </w:r>
      <w:r w:rsidR="00727D3B">
        <w:rPr>
          <w:rFonts w:ascii="Times New Roman" w:hAnsi="Times New Roman" w:cs="Times New Roman"/>
        </w:rPr>
        <w:t xml:space="preserve"> </w:t>
      </w:r>
      <w:r w:rsidR="004A091E">
        <w:rPr>
          <w:rFonts w:ascii="Times New Roman" w:hAnsi="Times New Roman" w:cs="Times New Roman"/>
        </w:rPr>
        <w:t xml:space="preserve">Patent </w:t>
      </w:r>
      <w:r w:rsidR="00220D54">
        <w:rPr>
          <w:rFonts w:ascii="Times New Roman" w:hAnsi="Times New Roman" w:cs="Times New Roman"/>
        </w:rPr>
        <w:t>practitioners and judges</w:t>
      </w:r>
      <w:r w:rsidR="004A091E">
        <w:rPr>
          <w:rFonts w:ascii="Times New Roman" w:hAnsi="Times New Roman" w:cs="Times New Roman"/>
        </w:rPr>
        <w:t xml:space="preserve"> alike likely realized the same thing and began to worry about the affect that PAEs would have on software and other high-technology patents. </w:t>
      </w:r>
      <w:r w:rsidR="003E5B9C">
        <w:rPr>
          <w:rFonts w:ascii="Times New Roman" w:hAnsi="Times New Roman" w:cs="Times New Roman"/>
        </w:rPr>
        <w:t xml:space="preserve">In an age where so many of the same technologies were being used in millions and millions of computers and mobile devices, a PAE could effectively hold a giant device corporation hostage for an almost unlimited amount of money by getting an injunction a single technology in a device. When granting an injunction is the default, PAEs stand to gain much and lose very little by taking giant technology corporations to court. On the other hand, corporations could be knocked to their knees by the granting of a single injunction that restricted sales of their devices.  </w:t>
      </w:r>
      <w:r w:rsidR="00A3605A">
        <w:rPr>
          <w:rFonts w:ascii="Times New Roman" w:hAnsi="Times New Roman" w:cs="Times New Roman"/>
        </w:rPr>
        <w:t xml:space="preserve">It is likely with these thoughts in mind that the Supreme Court of the Unites States decided </w:t>
      </w:r>
      <w:r w:rsidR="00A3605A" w:rsidRPr="00A3605A">
        <w:rPr>
          <w:rFonts w:ascii="Times New Roman" w:hAnsi="Times New Roman" w:cs="Times New Roman"/>
          <w:i/>
        </w:rPr>
        <w:t>eBay v. MercExchange.</w:t>
      </w:r>
      <w:r w:rsidR="00A3605A">
        <w:rPr>
          <w:rFonts w:ascii="Times New Roman" w:hAnsi="Times New Roman" w:cs="Times New Roman"/>
        </w:rPr>
        <w:t xml:space="preserve"> </w:t>
      </w:r>
    </w:p>
    <w:p w14:paraId="09AC864C" w14:textId="60A17653" w:rsidR="00E95E5C" w:rsidRPr="00A62167" w:rsidRDefault="00C92256" w:rsidP="00A62167">
      <w:pPr>
        <w:spacing w:line="480" w:lineRule="auto"/>
        <w:ind w:firstLine="720"/>
        <w:rPr>
          <w:rFonts w:ascii="Times New Roman" w:hAnsi="Times New Roman" w:cs="Times New Roman"/>
        </w:rPr>
      </w:pPr>
      <w:r>
        <w:rPr>
          <w:rFonts w:ascii="Times New Roman" w:hAnsi="Times New Roman" w:cs="Times New Roman"/>
        </w:rPr>
        <w:t xml:space="preserve">With these things weighing heavily on the minds of the Justices in the Supreme Court, </w:t>
      </w:r>
      <w:r w:rsidR="00F66851">
        <w:rPr>
          <w:rFonts w:ascii="Times New Roman" w:hAnsi="Times New Roman" w:cs="Times New Roman"/>
        </w:rPr>
        <w:t>they decided that the proper way to resolve this difficult and likely growing problem by was</w:t>
      </w:r>
      <w:r>
        <w:rPr>
          <w:rFonts w:ascii="Times New Roman" w:hAnsi="Times New Roman" w:cs="Times New Roman"/>
        </w:rPr>
        <w:t xml:space="preserve"> </w:t>
      </w:r>
      <w:r w:rsidR="00F66851">
        <w:rPr>
          <w:rFonts w:ascii="Times New Roman" w:hAnsi="Times New Roman" w:cs="Times New Roman"/>
        </w:rPr>
        <w:t xml:space="preserve">to analyze each fact pattern on a case-by-case basis with a foundation in a four-prong test that promotes equity. When analyzing facts on a case-by-case basis, with equity’s fair reaching eye overseeing, courts might be better equipped to mitigate the rising concerns that PAE would inevitably bring to the forefront of the technology industry. </w:t>
      </w:r>
    </w:p>
    <w:p w14:paraId="3AA8D293" w14:textId="77777777" w:rsidR="00E95E5C" w:rsidRPr="00A32150" w:rsidRDefault="00E95E5C" w:rsidP="005857A2">
      <w:pPr>
        <w:spacing w:line="480" w:lineRule="auto"/>
        <w:ind w:firstLine="720"/>
        <w:rPr>
          <w:rFonts w:ascii="Times New Roman" w:eastAsia="Times New Roman" w:hAnsi="Times New Roman" w:cs="Times New Roman"/>
          <w:b/>
        </w:rPr>
      </w:pPr>
    </w:p>
    <w:p w14:paraId="0554C4DD" w14:textId="0526F6EE" w:rsidR="00646318" w:rsidRDefault="00646318" w:rsidP="006C5FA1">
      <w:pPr>
        <w:pStyle w:val="ListParagraph"/>
        <w:numPr>
          <w:ilvl w:val="1"/>
          <w:numId w:val="4"/>
        </w:numPr>
        <w:spacing w:line="480" w:lineRule="auto"/>
        <w:rPr>
          <w:rFonts w:ascii="Times New Roman" w:eastAsia="Times New Roman" w:hAnsi="Times New Roman" w:cs="Times New Roman"/>
          <w:b/>
        </w:rPr>
      </w:pPr>
      <w:r w:rsidRPr="00A32150">
        <w:rPr>
          <w:rFonts w:ascii="Times New Roman" w:eastAsia="Times New Roman" w:hAnsi="Times New Roman" w:cs="Times New Roman"/>
          <w:b/>
        </w:rPr>
        <w:t>Injunctive Relief in a Post-eBay World (How eBay Changed the Injunctive Relief Landscape)</w:t>
      </w:r>
    </w:p>
    <w:p w14:paraId="5DEBAA36" w14:textId="5A01696C" w:rsidR="00EA6B4A" w:rsidRDefault="00EA6B4A" w:rsidP="00EA6B4A">
      <w:pPr>
        <w:spacing w:line="480" w:lineRule="auto"/>
        <w:ind w:firstLine="720"/>
        <w:rPr>
          <w:rFonts w:ascii="Times New Roman" w:eastAsia="Times New Roman" w:hAnsi="Times New Roman" w:cs="Times New Roman"/>
        </w:rPr>
      </w:pPr>
      <w:r w:rsidRPr="00EA6B4A">
        <w:rPr>
          <w:rFonts w:ascii="Times New Roman" w:eastAsia="Times New Roman" w:hAnsi="Times New Roman" w:cs="Times New Roman"/>
        </w:rPr>
        <w:t>The four-factor test recited in the Supreme Court’s decision places a great weight on the equity of the relief and encourages judges in deciding courts to use their discretion to apply the equitable solution on a case-by-case basis. It is certain that the eBay case played an extremely influential roll in changing the injunctive relief landscape. In fact, in the 5 years following the Supreme Court’s decision in eBay, there were 168 cases in which a permanent injunction was issued and 56 cased in which it has been denied.</w:t>
      </w:r>
      <w:r w:rsidRPr="00F76F0B">
        <w:rPr>
          <w:rStyle w:val="FootnoteReference"/>
          <w:rFonts w:ascii="Times New Roman" w:eastAsia="Times New Roman" w:hAnsi="Times New Roman" w:cs="Times New Roman"/>
        </w:rPr>
        <w:footnoteReference w:id="48"/>
      </w:r>
      <w:r w:rsidRPr="00EA6B4A">
        <w:rPr>
          <w:rFonts w:ascii="Times New Roman" w:eastAsia="Times New Roman" w:hAnsi="Times New Roman" w:cs="Times New Roman"/>
        </w:rPr>
        <w:t xml:space="preserve"> </w:t>
      </w:r>
      <w:r w:rsidR="00A62167">
        <w:rPr>
          <w:rFonts w:ascii="Times New Roman" w:eastAsia="Times New Roman" w:hAnsi="Times New Roman" w:cs="Times New Roman"/>
        </w:rPr>
        <w:t>This stands in stark contrast to the years prior to eBay, in which case nearly one hundred percent of injunction relief requests were granted when the patent was held valid and infringement found.</w:t>
      </w:r>
      <w:r w:rsidR="00A62167">
        <w:rPr>
          <w:rStyle w:val="FootnoteReference"/>
          <w:rFonts w:ascii="Times New Roman" w:eastAsia="Times New Roman" w:hAnsi="Times New Roman" w:cs="Times New Roman"/>
        </w:rPr>
        <w:footnoteReference w:id="49"/>
      </w:r>
      <w:r w:rsidR="00A62167">
        <w:rPr>
          <w:rFonts w:ascii="Times New Roman" w:eastAsia="Times New Roman" w:hAnsi="Times New Roman" w:cs="Times New Roman"/>
        </w:rPr>
        <w:t xml:space="preserve"> </w:t>
      </w:r>
    </w:p>
    <w:p w14:paraId="129F1337" w14:textId="7877DE2C" w:rsidR="00684905" w:rsidRPr="00EA6B4A" w:rsidRDefault="00684905" w:rsidP="00EA6B4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bigger question is whether or not the eBay case helped stave off the onslaught of PAE cases that would certainly come. The answer here is a resounding no. Looking at the data one can see that PAE-brought cases increased </w:t>
      </w:r>
      <w:r w:rsidR="00864CA9">
        <w:rPr>
          <w:rFonts w:ascii="Times New Roman" w:eastAsia="Times New Roman" w:hAnsi="Times New Roman" w:cs="Times New Roman"/>
        </w:rPr>
        <w:t xml:space="preserve">steadily over the next few years since eBay was decided and then </w:t>
      </w:r>
      <w:r>
        <w:rPr>
          <w:rFonts w:ascii="Times New Roman" w:eastAsia="Times New Roman" w:hAnsi="Times New Roman" w:cs="Times New Roman"/>
        </w:rPr>
        <w:t xml:space="preserve">nearly exponentially </w:t>
      </w:r>
      <w:r w:rsidR="00864CA9">
        <w:rPr>
          <w:rFonts w:ascii="Times New Roman" w:eastAsia="Times New Roman" w:hAnsi="Times New Roman" w:cs="Times New Roman"/>
        </w:rPr>
        <w:t>from 2010 on.</w:t>
      </w:r>
      <w:r w:rsidR="00864CA9">
        <w:rPr>
          <w:rStyle w:val="FootnoteReference"/>
          <w:rFonts w:ascii="Times New Roman" w:eastAsia="Times New Roman" w:hAnsi="Times New Roman" w:cs="Times New Roman"/>
        </w:rPr>
        <w:footnoteReference w:id="50"/>
      </w:r>
      <w:r w:rsidR="00844B59">
        <w:rPr>
          <w:rFonts w:ascii="Times New Roman" w:eastAsia="Times New Roman" w:hAnsi="Times New Roman" w:cs="Times New Roman"/>
        </w:rPr>
        <w:t xml:space="preserve"> Looking </w:t>
      </w:r>
      <w:r w:rsidR="00872B97">
        <w:rPr>
          <w:rFonts w:ascii="Times New Roman" w:eastAsia="Times New Roman" w:hAnsi="Times New Roman" w:cs="Times New Roman"/>
        </w:rPr>
        <w:t xml:space="preserve">at the </w:t>
      </w:r>
      <w:r w:rsidR="00844B59">
        <w:rPr>
          <w:rFonts w:ascii="Times New Roman" w:eastAsia="Times New Roman" w:hAnsi="Times New Roman" w:cs="Times New Roman"/>
        </w:rPr>
        <w:t xml:space="preserve">most prolific patent plaintiffs of 2013 gives us the same story. </w:t>
      </w:r>
      <w:r w:rsidR="009A49F7">
        <w:rPr>
          <w:rFonts w:ascii="Times New Roman" w:eastAsia="Times New Roman" w:hAnsi="Times New Roman" w:cs="Times New Roman"/>
        </w:rPr>
        <w:t xml:space="preserve">These are the plaintiffs who filed the most patent infringement suits in the year 2013. </w:t>
      </w:r>
      <w:r w:rsidR="00844B59">
        <w:rPr>
          <w:rFonts w:ascii="Times New Roman" w:eastAsia="Times New Roman" w:hAnsi="Times New Roman" w:cs="Times New Roman"/>
        </w:rPr>
        <w:t xml:space="preserve">The top 10 </w:t>
      </w:r>
      <w:r w:rsidR="009A49F7">
        <w:rPr>
          <w:rFonts w:ascii="Times New Roman" w:eastAsia="Times New Roman" w:hAnsi="Times New Roman" w:cs="Times New Roman"/>
        </w:rPr>
        <w:t>plaintiffs</w:t>
      </w:r>
      <w:r w:rsidR="00844B59">
        <w:rPr>
          <w:rFonts w:ascii="Times New Roman" w:eastAsia="Times New Roman" w:hAnsi="Times New Roman" w:cs="Times New Roman"/>
        </w:rPr>
        <w:t xml:space="preserve"> are all PAEs.</w:t>
      </w:r>
      <w:r w:rsidR="00844B59">
        <w:rPr>
          <w:rStyle w:val="FootnoteReference"/>
          <w:rFonts w:ascii="Times New Roman" w:eastAsia="Times New Roman" w:hAnsi="Times New Roman" w:cs="Times New Roman"/>
        </w:rPr>
        <w:footnoteReference w:id="51"/>
      </w:r>
      <w:r w:rsidR="00844B59">
        <w:rPr>
          <w:rFonts w:ascii="Times New Roman" w:eastAsia="Times New Roman" w:hAnsi="Times New Roman" w:cs="Times New Roman"/>
        </w:rPr>
        <w:t xml:space="preserve"> </w:t>
      </w:r>
      <w:r w:rsidR="009A49F7">
        <w:rPr>
          <w:rFonts w:ascii="Times New Roman" w:eastAsia="Times New Roman" w:hAnsi="Times New Roman" w:cs="Times New Roman"/>
        </w:rPr>
        <w:t xml:space="preserve">When looking at patent infringement suits as a whole, it is not </w:t>
      </w:r>
      <w:r w:rsidR="00872B97">
        <w:rPr>
          <w:rFonts w:ascii="Times New Roman" w:eastAsia="Times New Roman" w:hAnsi="Times New Roman" w:cs="Times New Roman"/>
        </w:rPr>
        <w:t xml:space="preserve">a </w:t>
      </w:r>
      <w:bookmarkStart w:id="0" w:name="_GoBack"/>
      <w:bookmarkEnd w:id="0"/>
      <w:r w:rsidR="009A49F7">
        <w:rPr>
          <w:rFonts w:ascii="Times New Roman" w:eastAsia="Times New Roman" w:hAnsi="Times New Roman" w:cs="Times New Roman"/>
        </w:rPr>
        <w:t>surprise to again see that ratio of suits brought by PAE</w:t>
      </w:r>
      <w:r w:rsidR="00035C72">
        <w:rPr>
          <w:rFonts w:ascii="Times New Roman" w:eastAsia="Times New Roman" w:hAnsi="Times New Roman" w:cs="Times New Roman"/>
        </w:rPr>
        <w:t>s compared to non-PAEs (actual</w:t>
      </w:r>
      <w:r w:rsidR="009A49F7">
        <w:rPr>
          <w:rFonts w:ascii="Times New Roman" w:eastAsia="Times New Roman" w:hAnsi="Times New Roman" w:cs="Times New Roman"/>
        </w:rPr>
        <w:t xml:space="preserve"> companies that practice the technology </w:t>
      </w:r>
      <w:r w:rsidR="00035C72">
        <w:rPr>
          <w:rFonts w:ascii="Times New Roman" w:eastAsia="Times New Roman" w:hAnsi="Times New Roman" w:cs="Times New Roman"/>
        </w:rPr>
        <w:t>for which they acquire patent rights) is astounding skewed towards PAEs, especially in recent years.</w:t>
      </w:r>
      <w:r w:rsidR="00035C72">
        <w:rPr>
          <w:rStyle w:val="FootnoteReference"/>
          <w:rFonts w:ascii="Times New Roman" w:eastAsia="Times New Roman" w:hAnsi="Times New Roman" w:cs="Times New Roman"/>
        </w:rPr>
        <w:footnoteReference w:id="52"/>
      </w:r>
      <w:r w:rsidR="005C3372">
        <w:rPr>
          <w:rFonts w:ascii="Times New Roman" w:eastAsia="Times New Roman" w:hAnsi="Times New Roman" w:cs="Times New Roman"/>
        </w:rPr>
        <w:t xml:space="preserve"> While the decision in eBay may have drastically changed the percentage of injunctions granted upon request, it does not appear to have had any affect whatsoever on keeping PAEs from bringing patent infringement suits. </w:t>
      </w:r>
    </w:p>
    <w:p w14:paraId="05D1D52C" w14:textId="77777777" w:rsidR="00EA6B4A" w:rsidRDefault="00EA6B4A" w:rsidP="00EA6B4A">
      <w:pPr>
        <w:pStyle w:val="ListParagraph"/>
        <w:spacing w:line="480" w:lineRule="auto"/>
        <w:ind w:left="2160"/>
        <w:rPr>
          <w:rFonts w:ascii="Times New Roman" w:eastAsia="Times New Roman" w:hAnsi="Times New Roman" w:cs="Times New Roman"/>
          <w:b/>
        </w:rPr>
      </w:pPr>
    </w:p>
    <w:p w14:paraId="6E19420A" w14:textId="36D41EA3" w:rsidR="004B6FB9" w:rsidRDefault="00CD602A" w:rsidP="00EA6B4A">
      <w:pPr>
        <w:pStyle w:val="ListParagraph"/>
        <w:numPr>
          <w:ilvl w:val="0"/>
          <w:numId w:val="4"/>
        </w:numPr>
        <w:spacing w:line="480" w:lineRule="auto"/>
        <w:rPr>
          <w:rFonts w:ascii="Times New Roman" w:eastAsia="Times New Roman" w:hAnsi="Times New Roman" w:cs="Times New Roman"/>
          <w:b/>
        </w:rPr>
      </w:pPr>
      <w:r w:rsidRPr="00EA6B4A">
        <w:rPr>
          <w:rFonts w:ascii="Times New Roman" w:eastAsia="Times New Roman" w:hAnsi="Times New Roman" w:cs="Times New Roman"/>
          <w:b/>
        </w:rPr>
        <w:t>Apple v. Samsung</w:t>
      </w:r>
      <w:r w:rsidR="00A64B1D">
        <w:rPr>
          <w:rFonts w:ascii="Times New Roman" w:eastAsia="Times New Roman" w:hAnsi="Times New Roman" w:cs="Times New Roman"/>
          <w:b/>
        </w:rPr>
        <w:t xml:space="preserve"> (This section will be added in a later draft)</w:t>
      </w:r>
    </w:p>
    <w:p w14:paraId="5ADA5487" w14:textId="77777777" w:rsidR="00EA1276" w:rsidRDefault="00EA6B4A" w:rsidP="004B6FB9">
      <w:pPr>
        <w:pStyle w:val="ListParagraph"/>
        <w:spacing w:line="480" w:lineRule="auto"/>
        <w:ind w:left="1260"/>
        <w:rPr>
          <w:rFonts w:ascii="Times New Roman" w:eastAsia="Times New Roman" w:hAnsi="Times New Roman" w:cs="Times New Roman"/>
          <w:b/>
        </w:rPr>
      </w:pPr>
      <w:r w:rsidRPr="00EA6B4A">
        <w:rPr>
          <w:rFonts w:ascii="Times New Roman" w:eastAsia="Times New Roman" w:hAnsi="Times New Roman" w:cs="Times New Roman"/>
          <w:b/>
        </w:rPr>
        <w:tab/>
      </w:r>
    </w:p>
    <w:p w14:paraId="1155BF5F" w14:textId="77777777" w:rsidR="00EA1276" w:rsidRDefault="00EA1276" w:rsidP="004B6FB9">
      <w:pPr>
        <w:pStyle w:val="ListParagraph"/>
        <w:spacing w:line="480" w:lineRule="auto"/>
        <w:ind w:left="1260"/>
        <w:rPr>
          <w:rFonts w:ascii="Times New Roman" w:eastAsia="Times New Roman" w:hAnsi="Times New Roman" w:cs="Times New Roman"/>
          <w:b/>
        </w:rPr>
      </w:pPr>
    </w:p>
    <w:p w14:paraId="18055477" w14:textId="04E99DC2" w:rsidR="00CD602A" w:rsidRPr="00EA6B4A" w:rsidRDefault="00EA6B4A" w:rsidP="004B6FB9">
      <w:pPr>
        <w:pStyle w:val="ListParagraph"/>
        <w:spacing w:line="480" w:lineRule="auto"/>
        <w:ind w:left="1260"/>
        <w:rPr>
          <w:rFonts w:ascii="Times New Roman" w:eastAsia="Times New Roman" w:hAnsi="Times New Roman" w:cs="Times New Roman"/>
          <w:b/>
        </w:rPr>
      </w:pPr>
      <w:r w:rsidRPr="00EA6B4A">
        <w:rPr>
          <w:rFonts w:ascii="Times New Roman" w:eastAsia="Times New Roman" w:hAnsi="Times New Roman" w:cs="Times New Roman"/>
          <w:b/>
        </w:rPr>
        <w:tab/>
      </w:r>
      <w:r w:rsidRPr="00EA6B4A">
        <w:rPr>
          <w:rFonts w:ascii="Times New Roman" w:eastAsia="Times New Roman" w:hAnsi="Times New Roman" w:cs="Times New Roman"/>
          <w:b/>
        </w:rPr>
        <w:tab/>
      </w:r>
    </w:p>
    <w:p w14:paraId="38C823A8" w14:textId="1F772955" w:rsidR="00745BF0" w:rsidRDefault="00EA6B4A" w:rsidP="00745BF0">
      <w:pPr>
        <w:pStyle w:val="ListParagraph"/>
        <w:numPr>
          <w:ilvl w:val="0"/>
          <w:numId w:val="4"/>
        </w:numPr>
        <w:spacing w:line="480" w:lineRule="auto"/>
        <w:rPr>
          <w:rFonts w:ascii="Times New Roman" w:eastAsia="Times New Roman" w:hAnsi="Times New Roman" w:cs="Times New Roman"/>
          <w:b/>
        </w:rPr>
      </w:pPr>
      <w:r>
        <w:rPr>
          <w:rFonts w:ascii="Times New Roman" w:eastAsia="Times New Roman" w:hAnsi="Times New Roman" w:cs="Times New Roman"/>
          <w:b/>
        </w:rPr>
        <w:t>Conclusion</w:t>
      </w:r>
    </w:p>
    <w:p w14:paraId="2D4739C2" w14:textId="1642CF6A" w:rsidR="00893687" w:rsidRPr="00A63DBE" w:rsidRDefault="00AD5085" w:rsidP="00A63DB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Supreme Court in eBay made it clear that the way in which courts should analyze and apply the four-prong test for injunctive relief should change. The Court did not however, give clear </w:t>
      </w:r>
      <w:r w:rsidR="001367AF">
        <w:rPr>
          <w:rFonts w:ascii="Times New Roman" w:eastAsia="Times New Roman" w:hAnsi="Times New Roman" w:cs="Times New Roman"/>
        </w:rPr>
        <w:t>instructions</w:t>
      </w:r>
      <w:r>
        <w:rPr>
          <w:rFonts w:ascii="Times New Roman" w:eastAsia="Times New Roman" w:hAnsi="Times New Roman" w:cs="Times New Roman"/>
        </w:rPr>
        <w:t xml:space="preserve"> as to how exactly the analysis should change only saying that the four-prong test should be used along with the courts discretion as to what is the equitable remedy. The </w:t>
      </w:r>
      <w:r w:rsidR="005D3E48" w:rsidRPr="00A63DBE">
        <w:rPr>
          <w:rFonts w:ascii="Times New Roman" w:eastAsia="Times New Roman" w:hAnsi="Times New Roman" w:cs="Times New Roman"/>
        </w:rPr>
        <w:t xml:space="preserve">Supreme Court’s decision </w:t>
      </w:r>
      <w:r w:rsidR="00A63DBE" w:rsidRPr="00A63DBE">
        <w:rPr>
          <w:rFonts w:ascii="Times New Roman" w:eastAsia="Times New Roman" w:hAnsi="Times New Roman" w:cs="Times New Roman"/>
        </w:rPr>
        <w:t xml:space="preserve">had a significant impact on the patent space, especially with regard to the percentage of injunctions granted upon request, </w:t>
      </w:r>
      <w:r w:rsidR="00A63DBE">
        <w:rPr>
          <w:rFonts w:ascii="Times New Roman" w:eastAsia="Times New Roman" w:hAnsi="Times New Roman" w:cs="Times New Roman"/>
        </w:rPr>
        <w:t xml:space="preserve">it is not entirely clear that the decision did anything to in any way dissuade PAEs from filing patent infringement suit. </w:t>
      </w:r>
      <w:r>
        <w:rPr>
          <w:rFonts w:ascii="Times New Roman" w:eastAsia="Times New Roman" w:hAnsi="Times New Roman" w:cs="Times New Roman"/>
        </w:rPr>
        <w:t xml:space="preserve">The percentage of injunctions granted is down, for better or worse, but </w:t>
      </w:r>
      <w:r w:rsidR="00A63DBE">
        <w:rPr>
          <w:rFonts w:ascii="Times New Roman" w:eastAsia="Times New Roman" w:hAnsi="Times New Roman" w:cs="Times New Roman"/>
        </w:rPr>
        <w:t>PAEs are filing</w:t>
      </w:r>
      <w:r>
        <w:rPr>
          <w:rFonts w:ascii="Times New Roman" w:eastAsia="Times New Roman" w:hAnsi="Times New Roman" w:cs="Times New Roman"/>
        </w:rPr>
        <w:t xml:space="preserve"> suit more abundantly than ever. </w:t>
      </w:r>
    </w:p>
    <w:p w14:paraId="39795CA0" w14:textId="77777777" w:rsidR="00745BF0" w:rsidRPr="00745BF0" w:rsidRDefault="00745BF0" w:rsidP="00745BF0">
      <w:pPr>
        <w:spacing w:line="480" w:lineRule="auto"/>
        <w:rPr>
          <w:rFonts w:ascii="Times New Roman" w:eastAsia="Times New Roman" w:hAnsi="Times New Roman" w:cs="Times New Roman"/>
          <w:b/>
        </w:rPr>
      </w:pPr>
    </w:p>
    <w:p w14:paraId="1283F1B7" w14:textId="77777777" w:rsidR="00745BF0" w:rsidRDefault="00745BF0">
      <w:pPr>
        <w:rPr>
          <w:rFonts w:ascii="Times New Roman" w:hAnsi="Times New Roman" w:cs="Times New Roman"/>
          <w:b/>
        </w:rPr>
      </w:pPr>
      <w:r>
        <w:rPr>
          <w:rFonts w:ascii="Times New Roman" w:hAnsi="Times New Roman" w:cs="Times New Roman"/>
          <w:b/>
        </w:rPr>
        <w:br w:type="page"/>
      </w:r>
    </w:p>
    <w:p w14:paraId="52D23B74" w14:textId="663FB026" w:rsidR="00C65E6C" w:rsidRDefault="00C65E6C" w:rsidP="00745BF0">
      <w:pPr>
        <w:pStyle w:val="ListParagraph"/>
        <w:numPr>
          <w:ilvl w:val="0"/>
          <w:numId w:val="4"/>
        </w:numPr>
        <w:spacing w:line="480" w:lineRule="auto"/>
        <w:rPr>
          <w:rFonts w:ascii="Times New Roman" w:hAnsi="Times New Roman" w:cs="Times New Roman"/>
          <w:b/>
        </w:rPr>
      </w:pPr>
      <w:r>
        <w:rPr>
          <w:rFonts w:ascii="Times New Roman" w:hAnsi="Times New Roman" w:cs="Times New Roman"/>
          <w:b/>
        </w:rPr>
        <w:t>Appendix A</w:t>
      </w:r>
    </w:p>
    <w:p w14:paraId="7C955B27" w14:textId="77777777" w:rsidR="00C65E6C" w:rsidRDefault="00C65E6C" w:rsidP="00C65E6C">
      <w:pPr>
        <w:pStyle w:val="ListParagraph"/>
        <w:spacing w:line="480" w:lineRule="auto"/>
        <w:ind w:left="1260"/>
        <w:rPr>
          <w:rFonts w:ascii="Times New Roman" w:hAnsi="Times New Roman" w:cs="Times New Roman"/>
          <w:b/>
        </w:rPr>
      </w:pPr>
    </w:p>
    <w:p w14:paraId="08D6DEE8" w14:textId="68A3AD42" w:rsidR="00C65E6C" w:rsidRPr="00BC070F" w:rsidRDefault="00BC070F" w:rsidP="00BC070F">
      <w:pPr>
        <w:pStyle w:val="ListParagraph"/>
        <w:spacing w:line="480" w:lineRule="auto"/>
        <w:ind w:left="0"/>
        <w:rPr>
          <w:rFonts w:ascii="Times New Roman" w:hAnsi="Times New Roman" w:cs="Times New Roman"/>
        </w:rPr>
      </w:pPr>
      <w:r w:rsidRPr="00BC070F">
        <w:rPr>
          <w:rFonts w:ascii="Times New Roman" w:hAnsi="Times New Roman" w:cs="Times New Roman"/>
        </w:rPr>
        <w:t>Number</w:t>
      </w:r>
      <w:r>
        <w:rPr>
          <w:rFonts w:ascii="Times New Roman" w:hAnsi="Times New Roman" w:cs="Times New Roman"/>
        </w:rPr>
        <w:t xml:space="preserve"> of patent lawsuits involving a</w:t>
      </w:r>
      <w:r w:rsidRPr="00BC070F">
        <w:rPr>
          <w:rFonts w:ascii="Times New Roman" w:hAnsi="Times New Roman" w:cs="Times New Roman"/>
        </w:rPr>
        <w:t xml:space="preserve"> PAE plaintiff</w:t>
      </w:r>
      <w:r w:rsidR="00EB28B5">
        <w:rPr>
          <w:rFonts w:ascii="Times New Roman" w:hAnsi="Times New Roman" w:cs="Times New Roman"/>
        </w:rPr>
        <w:t xml:space="preserve"> over time</w:t>
      </w:r>
    </w:p>
    <w:p w14:paraId="16DB6996" w14:textId="0D930307" w:rsidR="00C65E6C" w:rsidRDefault="00C65E6C" w:rsidP="00C65E6C">
      <w:pPr>
        <w:pStyle w:val="ListParagraph"/>
        <w:spacing w:line="480" w:lineRule="auto"/>
        <w:ind w:left="0"/>
        <w:rPr>
          <w:rFonts w:ascii="Times New Roman" w:hAnsi="Times New Roman" w:cs="Times New Roman"/>
          <w:b/>
        </w:rPr>
      </w:pPr>
      <w:r>
        <w:rPr>
          <w:rFonts w:ascii="Times New Roman" w:hAnsi="Times New Roman" w:cs="Times New Roman"/>
          <w:b/>
          <w:noProof/>
        </w:rPr>
        <w:drawing>
          <wp:inline distT="0" distB="0" distL="0" distR="0" wp14:anchorId="7F24428D" wp14:editId="0DCFEBCA">
            <wp:extent cx="5829300" cy="3296806"/>
            <wp:effectExtent l="0" t="0" r="0" b="5715"/>
            <wp:docPr id="3" name="Picture 3" descr="Macintosh HD:Users:Billy:Desktop:zpatent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ly:Desktop:zpatent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3296806"/>
                    </a:xfrm>
                    <a:prstGeom prst="rect">
                      <a:avLst/>
                    </a:prstGeom>
                    <a:noFill/>
                    <a:ln>
                      <a:noFill/>
                    </a:ln>
                  </pic:spPr>
                </pic:pic>
              </a:graphicData>
            </a:graphic>
          </wp:inline>
        </w:drawing>
      </w:r>
    </w:p>
    <w:p w14:paraId="71EDA584" w14:textId="5BE7DECF" w:rsidR="00C65E6C" w:rsidRPr="00C65E6C" w:rsidRDefault="00C65E6C" w:rsidP="00C65E6C">
      <w:pPr>
        <w:pStyle w:val="ListParagraph"/>
        <w:spacing w:line="480" w:lineRule="auto"/>
        <w:ind w:left="0"/>
        <w:rPr>
          <w:rFonts w:ascii="Times New Roman" w:hAnsi="Times New Roman" w:cs="Times New Roman"/>
          <w:sz w:val="20"/>
          <w:szCs w:val="20"/>
        </w:rPr>
      </w:pPr>
      <w:r w:rsidRPr="00C65E6C">
        <w:rPr>
          <w:rFonts w:ascii="Times New Roman" w:hAnsi="Times New Roman" w:cs="Times New Roman"/>
          <w:sz w:val="20"/>
          <w:szCs w:val="20"/>
        </w:rPr>
        <w:t>Source: http://www.hiretheworld.com/blog/employers/business-news/protecting-your-intellectual-property-from-patent-trolls</w:t>
      </w:r>
    </w:p>
    <w:p w14:paraId="504CA567" w14:textId="77777777" w:rsidR="00C65E6C" w:rsidRDefault="00C65E6C">
      <w:pPr>
        <w:rPr>
          <w:rFonts w:ascii="Times New Roman" w:hAnsi="Times New Roman" w:cs="Times New Roman"/>
          <w:b/>
        </w:rPr>
      </w:pPr>
      <w:r>
        <w:rPr>
          <w:rFonts w:ascii="Times New Roman" w:hAnsi="Times New Roman" w:cs="Times New Roman"/>
          <w:b/>
        </w:rPr>
        <w:br w:type="page"/>
      </w:r>
    </w:p>
    <w:p w14:paraId="45F3A578" w14:textId="345587EF" w:rsidR="00745BF0" w:rsidRDefault="00C65E6C" w:rsidP="00745BF0">
      <w:pPr>
        <w:pStyle w:val="ListParagraph"/>
        <w:numPr>
          <w:ilvl w:val="0"/>
          <w:numId w:val="4"/>
        </w:numPr>
        <w:spacing w:line="480" w:lineRule="auto"/>
        <w:rPr>
          <w:rFonts w:ascii="Times New Roman" w:hAnsi="Times New Roman" w:cs="Times New Roman"/>
          <w:b/>
        </w:rPr>
      </w:pPr>
      <w:r>
        <w:rPr>
          <w:rFonts w:ascii="Times New Roman" w:hAnsi="Times New Roman" w:cs="Times New Roman"/>
          <w:b/>
        </w:rPr>
        <w:t>Appendix B</w:t>
      </w:r>
    </w:p>
    <w:p w14:paraId="78D25C52" w14:textId="77777777" w:rsidR="00C65E6C" w:rsidRDefault="00C65E6C" w:rsidP="00C65E6C">
      <w:pPr>
        <w:pStyle w:val="ListParagraph"/>
        <w:spacing w:line="480" w:lineRule="auto"/>
        <w:ind w:left="1260"/>
        <w:rPr>
          <w:rFonts w:ascii="Times New Roman" w:hAnsi="Times New Roman" w:cs="Times New Roman"/>
          <w:b/>
        </w:rPr>
      </w:pPr>
    </w:p>
    <w:p w14:paraId="392CA056" w14:textId="77777777" w:rsidR="00C65E6C" w:rsidRPr="00A32150" w:rsidRDefault="00C65E6C" w:rsidP="00C65E6C">
      <w:pPr>
        <w:pStyle w:val="ListParagraph"/>
        <w:spacing w:line="480" w:lineRule="auto"/>
        <w:ind w:left="1260"/>
        <w:rPr>
          <w:rFonts w:ascii="Times New Roman" w:hAnsi="Times New Roman" w:cs="Times New Roman"/>
          <w:b/>
        </w:rPr>
      </w:pPr>
    </w:p>
    <w:p w14:paraId="0035957D" w14:textId="31411BA4" w:rsidR="00242B16" w:rsidRDefault="00242B16" w:rsidP="00242B16">
      <w:pPr>
        <w:pStyle w:val="ListParagraph"/>
        <w:spacing w:line="480" w:lineRule="auto"/>
        <w:ind w:left="0"/>
        <w:rPr>
          <w:rFonts w:ascii="Times" w:hAnsi="Times" w:cs="Times"/>
          <w:color w:val="3B3D3C"/>
          <w:sz w:val="30"/>
          <w:szCs w:val="30"/>
        </w:rPr>
      </w:pPr>
      <w:r>
        <w:rPr>
          <w:rFonts w:ascii="Times" w:hAnsi="Times" w:cs="Times"/>
          <w:noProof/>
          <w:color w:val="3B3D3C"/>
          <w:sz w:val="30"/>
          <w:szCs w:val="30"/>
        </w:rPr>
        <w:drawing>
          <wp:inline distT="0" distB="0" distL="0" distR="0" wp14:anchorId="01350958" wp14:editId="7AB5F33B">
            <wp:extent cx="5933440" cy="3332480"/>
            <wp:effectExtent l="0" t="0" r="10160" b="0"/>
            <wp:docPr id="1" name="Picture 1" descr="Macintosh HD:Users:Billy:Desktop:tro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y:Desktop:troll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3440" cy="3332480"/>
                    </a:xfrm>
                    <a:prstGeom prst="rect">
                      <a:avLst/>
                    </a:prstGeom>
                    <a:noFill/>
                    <a:ln>
                      <a:noFill/>
                    </a:ln>
                  </pic:spPr>
                </pic:pic>
              </a:graphicData>
            </a:graphic>
          </wp:inline>
        </w:drawing>
      </w:r>
    </w:p>
    <w:p w14:paraId="29CE2A23" w14:textId="692984A3" w:rsidR="00242B16" w:rsidRDefault="00C65E6C" w:rsidP="00C65E6C">
      <w:pPr>
        <w:pStyle w:val="ListParagraph"/>
        <w:spacing w:line="480" w:lineRule="auto"/>
        <w:ind w:left="0"/>
        <w:rPr>
          <w:rFonts w:ascii="Times" w:hAnsi="Times" w:cs="Times"/>
          <w:color w:val="3B3D3C"/>
          <w:sz w:val="20"/>
          <w:szCs w:val="20"/>
        </w:rPr>
      </w:pPr>
      <w:r w:rsidRPr="00C65E6C">
        <w:rPr>
          <w:rFonts w:ascii="Times" w:hAnsi="Times" w:cs="Times"/>
          <w:color w:val="3B3D3C"/>
          <w:sz w:val="20"/>
          <w:szCs w:val="20"/>
        </w:rPr>
        <w:t>Source: http://www.vox.com/2014/5/28/5745770/the-patent-lawsuit-crisis-in-5-charts</w:t>
      </w:r>
    </w:p>
    <w:p w14:paraId="04D5C3C2" w14:textId="77777777" w:rsidR="00C65E6C" w:rsidRPr="00C65E6C" w:rsidRDefault="00C65E6C" w:rsidP="00745BF0">
      <w:pPr>
        <w:pStyle w:val="ListParagraph"/>
        <w:spacing w:line="480" w:lineRule="auto"/>
        <w:ind w:left="1260"/>
        <w:rPr>
          <w:rFonts w:ascii="Times" w:hAnsi="Times" w:cs="Times"/>
          <w:color w:val="3B3D3C"/>
          <w:sz w:val="20"/>
          <w:szCs w:val="20"/>
        </w:rPr>
      </w:pPr>
    </w:p>
    <w:p w14:paraId="2891BB0C" w14:textId="77777777" w:rsidR="004A0191" w:rsidRDefault="004A0191">
      <w:pPr>
        <w:rPr>
          <w:rFonts w:ascii="Times New Roman" w:hAnsi="Times New Roman" w:cs="Times New Roman"/>
          <w:b/>
        </w:rPr>
      </w:pPr>
      <w:r>
        <w:rPr>
          <w:rFonts w:ascii="Times New Roman" w:hAnsi="Times New Roman" w:cs="Times New Roman"/>
          <w:b/>
        </w:rPr>
        <w:br w:type="page"/>
      </w:r>
    </w:p>
    <w:p w14:paraId="6F86479D" w14:textId="6653EF13" w:rsidR="00010643" w:rsidRPr="005D2E10" w:rsidRDefault="00C65E6C" w:rsidP="00E724EB">
      <w:pPr>
        <w:pStyle w:val="ListParagraph"/>
        <w:numPr>
          <w:ilvl w:val="0"/>
          <w:numId w:val="4"/>
        </w:numPr>
        <w:spacing w:line="480" w:lineRule="auto"/>
        <w:rPr>
          <w:rFonts w:ascii="Times New Roman" w:hAnsi="Times New Roman" w:cs="Times New Roman"/>
          <w:b/>
        </w:rPr>
      </w:pPr>
      <w:r>
        <w:rPr>
          <w:rFonts w:ascii="Times New Roman" w:hAnsi="Times New Roman" w:cs="Times New Roman"/>
          <w:b/>
        </w:rPr>
        <w:t>Appendix C</w:t>
      </w:r>
    </w:p>
    <w:p w14:paraId="21013AD8" w14:textId="77777777" w:rsidR="009154A6" w:rsidRDefault="009154A6" w:rsidP="001056FE">
      <w:pPr>
        <w:spacing w:line="480" w:lineRule="auto"/>
        <w:rPr>
          <w:rFonts w:ascii="Times New Roman" w:eastAsia="Times New Roman" w:hAnsi="Times New Roman" w:cs="Times New Roman"/>
        </w:rPr>
      </w:pPr>
    </w:p>
    <w:p w14:paraId="000FE879" w14:textId="77777777" w:rsidR="00C65E6C" w:rsidRPr="00F76F0B" w:rsidRDefault="00C65E6C" w:rsidP="001056FE">
      <w:pPr>
        <w:spacing w:line="480" w:lineRule="auto"/>
        <w:rPr>
          <w:rFonts w:ascii="Times New Roman" w:eastAsia="Times New Roman" w:hAnsi="Times New Roman" w:cs="Times New Roman"/>
        </w:rPr>
      </w:pPr>
    </w:p>
    <w:p w14:paraId="02601669" w14:textId="6EBD6D20" w:rsidR="0091113D" w:rsidRDefault="005D2E10" w:rsidP="0091113D">
      <w:pPr>
        <w:spacing w:line="480" w:lineRule="auto"/>
        <w:rPr>
          <w:rFonts w:ascii="Times New Roman" w:hAnsi="Times New Roman" w:cs="Times New Roman"/>
        </w:rPr>
      </w:pPr>
      <w:r>
        <w:rPr>
          <w:rFonts w:ascii="Times New Roman" w:hAnsi="Times New Roman" w:cs="Times New Roman"/>
          <w:noProof/>
        </w:rPr>
        <w:drawing>
          <wp:inline distT="0" distB="0" distL="0" distR="0" wp14:anchorId="038334A4" wp14:editId="2DB408AC">
            <wp:extent cx="5943600" cy="3291840"/>
            <wp:effectExtent l="0" t="0" r="0" b="10160"/>
            <wp:docPr id="2" name="Picture 2" descr="Macintosh HD:Users:Billy:Desktop:update1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illy:Desktop:update11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291840"/>
                    </a:xfrm>
                    <a:prstGeom prst="rect">
                      <a:avLst/>
                    </a:prstGeom>
                    <a:noFill/>
                    <a:ln>
                      <a:noFill/>
                    </a:ln>
                  </pic:spPr>
                </pic:pic>
              </a:graphicData>
            </a:graphic>
          </wp:inline>
        </w:drawing>
      </w:r>
    </w:p>
    <w:p w14:paraId="4E5CEA90" w14:textId="7D562CA4" w:rsidR="005D2E10" w:rsidRPr="00C65E6C" w:rsidRDefault="00C65E6C" w:rsidP="0091113D">
      <w:pPr>
        <w:spacing w:line="480" w:lineRule="auto"/>
        <w:rPr>
          <w:rFonts w:ascii="Times New Roman" w:hAnsi="Times New Roman" w:cs="Times New Roman"/>
          <w:sz w:val="20"/>
          <w:szCs w:val="20"/>
        </w:rPr>
      </w:pPr>
      <w:r w:rsidRPr="00C65E6C">
        <w:rPr>
          <w:rFonts w:ascii="Times New Roman" w:hAnsi="Times New Roman" w:cs="Times New Roman"/>
          <w:sz w:val="20"/>
          <w:szCs w:val="20"/>
        </w:rPr>
        <w:t xml:space="preserve">Source: </w:t>
      </w:r>
      <w:r w:rsidR="005D2E10" w:rsidRPr="00C65E6C">
        <w:rPr>
          <w:rFonts w:ascii="Times New Roman" w:hAnsi="Times New Roman" w:cs="Times New Roman"/>
          <w:sz w:val="20"/>
          <w:szCs w:val="20"/>
        </w:rPr>
        <w:t>http://www.triallawyersinc.com/updates/tli_update11.html</w:t>
      </w:r>
    </w:p>
    <w:sectPr w:rsidR="005D2E10" w:rsidRPr="00C65E6C" w:rsidSect="00B10CAB">
      <w:footerReference w:type="even"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623B5" w14:textId="77777777" w:rsidR="006D5E48" w:rsidRDefault="006D5E48" w:rsidP="00A22E90">
      <w:r>
        <w:separator/>
      </w:r>
    </w:p>
  </w:endnote>
  <w:endnote w:type="continuationSeparator" w:id="0">
    <w:p w14:paraId="26A5A1A6" w14:textId="77777777" w:rsidR="006D5E48" w:rsidRDefault="006D5E48" w:rsidP="00A2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27164" w14:textId="77777777" w:rsidR="006D5E48" w:rsidRDefault="006D5E48" w:rsidP="00B10C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86E23F" w14:textId="77777777" w:rsidR="006D5E48" w:rsidRDefault="006D5E4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00931" w14:textId="77777777" w:rsidR="00B10CAB" w:rsidRDefault="00B10CAB" w:rsidP="00B10CA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72B97">
      <w:rPr>
        <w:rStyle w:val="PageNumber"/>
        <w:noProof/>
      </w:rPr>
      <w:t>16</w:t>
    </w:r>
    <w:r>
      <w:rPr>
        <w:rStyle w:val="PageNumber"/>
      </w:rPr>
      <w:fldChar w:fldCharType="end"/>
    </w:r>
  </w:p>
  <w:p w14:paraId="58ACA8A6" w14:textId="326F232B" w:rsidR="006D5E48" w:rsidRDefault="006D5E48" w:rsidP="00452296">
    <w:pPr>
      <w:pStyle w:val="Footer"/>
      <w:framePr w:wrap="around" w:vAnchor="text" w:hAnchor="margin" w:xAlign="center" w:y="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5CF3D" w14:textId="77777777" w:rsidR="006D5E48" w:rsidRDefault="006D5E48" w:rsidP="00A22E90">
      <w:r>
        <w:separator/>
      </w:r>
    </w:p>
  </w:footnote>
  <w:footnote w:type="continuationSeparator" w:id="0">
    <w:p w14:paraId="59FC9844" w14:textId="77777777" w:rsidR="006D5E48" w:rsidRDefault="006D5E48" w:rsidP="00A22E90">
      <w:r>
        <w:continuationSeparator/>
      </w:r>
    </w:p>
  </w:footnote>
  <w:footnote w:id="1">
    <w:p w14:paraId="63254D68" w14:textId="488C0129" w:rsidR="006D5E48" w:rsidRDefault="006D5E48">
      <w:pPr>
        <w:pStyle w:val="FootnoteText"/>
      </w:pPr>
      <w:r>
        <w:rPr>
          <w:rStyle w:val="FootnoteReference"/>
        </w:rPr>
        <w:footnoteRef/>
      </w:r>
      <w:r>
        <w:t xml:space="preserve"> The Apple v. Samsung case will be discussed in detail in a later draft of this paper</w:t>
      </w:r>
    </w:p>
  </w:footnote>
  <w:footnote w:id="2">
    <w:p w14:paraId="6350D4CA" w14:textId="40173407" w:rsidR="006D5E48" w:rsidRPr="00381383" w:rsidRDefault="006D5E48">
      <w:pPr>
        <w:pStyle w:val="FootnoteText"/>
        <w:rPr>
          <w:rFonts w:ascii="Times New Roman" w:hAnsi="Times New Roman" w:cs="Times New Roman"/>
        </w:rPr>
      </w:pPr>
      <w:r w:rsidRPr="00381383">
        <w:rPr>
          <w:rStyle w:val="FootnoteReference"/>
          <w:rFonts w:ascii="Times New Roman" w:hAnsi="Times New Roman" w:cs="Times New Roman"/>
        </w:rPr>
        <w:footnoteRef/>
      </w:r>
      <w:r w:rsidRPr="00381383">
        <w:rPr>
          <w:rFonts w:ascii="Times New Roman" w:hAnsi="Times New Roman" w:cs="Times New Roman"/>
        </w:rPr>
        <w:t xml:space="preserve"> See</w:t>
      </w:r>
      <w:r w:rsidRPr="00381383">
        <w:rPr>
          <w:rFonts w:ascii="Times New Roman" w:hAnsi="Times New Roman" w:cs="Times New Roman"/>
          <w:i/>
        </w:rPr>
        <w:t xml:space="preserve"> </w:t>
      </w:r>
      <w:r w:rsidRPr="00381383">
        <w:rPr>
          <w:rFonts w:ascii="Times New Roman" w:eastAsia="Times New Roman" w:hAnsi="Times New Roman" w:cs="Times New Roman"/>
          <w:i/>
        </w:rPr>
        <w:t>Chrysler Motors Corp. v. Auto Body Panels of Ohio, Inc.,</w:t>
      </w:r>
      <w:r w:rsidRPr="00381383">
        <w:rPr>
          <w:rFonts w:ascii="Times New Roman" w:eastAsia="Times New Roman" w:hAnsi="Times New Roman" w:cs="Times New Roman"/>
        </w:rPr>
        <w:t xml:space="preserve"> 908 F.2d 951, 952 (Fed. Cir. 1990). </w:t>
      </w:r>
    </w:p>
  </w:footnote>
  <w:footnote w:id="3">
    <w:p w14:paraId="486E5555" w14:textId="2E06BFAC" w:rsidR="006D5E48" w:rsidRPr="00381383" w:rsidRDefault="006D5E48">
      <w:pPr>
        <w:pStyle w:val="FootnoteText"/>
        <w:rPr>
          <w:rFonts w:ascii="Times New Roman" w:hAnsi="Times New Roman" w:cs="Times New Roman"/>
        </w:rPr>
      </w:pPr>
      <w:r w:rsidRPr="00381383">
        <w:rPr>
          <w:rStyle w:val="FootnoteReference"/>
          <w:rFonts w:ascii="Times New Roman" w:hAnsi="Times New Roman" w:cs="Times New Roman"/>
        </w:rPr>
        <w:footnoteRef/>
      </w:r>
      <w:r w:rsidRPr="00381383">
        <w:rPr>
          <w:rFonts w:ascii="Times New Roman" w:hAnsi="Times New Roman" w:cs="Times New Roman"/>
        </w:rPr>
        <w:t xml:space="preserve"> See</w:t>
      </w:r>
      <w:r w:rsidRPr="00381383">
        <w:rPr>
          <w:rFonts w:ascii="Times New Roman" w:hAnsi="Times New Roman" w:cs="Times New Roman"/>
          <w:i/>
        </w:rPr>
        <w:t xml:space="preserve"> eBay, Inc. v. MercExchange, LLC </w:t>
      </w:r>
      <w:r w:rsidRPr="00381383">
        <w:rPr>
          <w:rFonts w:ascii="Times New Roman" w:hAnsi="Times New Roman" w:cs="Times New Roman"/>
        </w:rPr>
        <w:t>(547 U.S. 388 (2006)).</w:t>
      </w:r>
    </w:p>
  </w:footnote>
  <w:footnote w:id="4">
    <w:p w14:paraId="1E3E0EF4" w14:textId="087D6919" w:rsidR="006D5E48" w:rsidRPr="00381383" w:rsidRDefault="006D5E48">
      <w:pPr>
        <w:pStyle w:val="FootnoteText"/>
        <w:rPr>
          <w:rFonts w:ascii="Times New Roman" w:hAnsi="Times New Roman" w:cs="Times New Roman"/>
        </w:rPr>
      </w:pPr>
      <w:r w:rsidRPr="00381383">
        <w:rPr>
          <w:rStyle w:val="FootnoteReference"/>
          <w:rFonts w:ascii="Times New Roman" w:hAnsi="Times New Roman" w:cs="Times New Roman"/>
        </w:rPr>
        <w:footnoteRef/>
      </w:r>
      <w:r w:rsidRPr="00381383">
        <w:rPr>
          <w:rFonts w:ascii="Times New Roman" w:hAnsi="Times New Roman" w:cs="Times New Roman"/>
        </w:rPr>
        <w:t xml:space="preserve"> See</w:t>
      </w:r>
      <w:r w:rsidRPr="00381383">
        <w:rPr>
          <w:rFonts w:ascii="Times New Roman" w:hAnsi="Times New Roman" w:cs="Times New Roman"/>
          <w:i/>
        </w:rPr>
        <w:t xml:space="preserve"> </w:t>
      </w:r>
      <w:r w:rsidRPr="00381383">
        <w:rPr>
          <w:rFonts w:ascii="Times New Roman" w:hAnsi="Times New Roman" w:cs="Times New Roman"/>
          <w:i/>
          <w:iCs/>
        </w:rPr>
        <w:t xml:space="preserve">Apple Inc. v. Samsung Elecs. Co., </w:t>
      </w:r>
      <w:r w:rsidRPr="00381383">
        <w:rPr>
          <w:rFonts w:ascii="Times New Roman" w:hAnsi="Times New Roman" w:cs="Times New Roman"/>
        </w:rPr>
        <w:t>Fed. Cir., No. 2013-1129, 11/18/13.</w:t>
      </w:r>
    </w:p>
  </w:footnote>
  <w:footnote w:id="5">
    <w:p w14:paraId="50375024" w14:textId="326F7B60" w:rsidR="006D5E48" w:rsidRPr="007168BA" w:rsidRDefault="006D5E48">
      <w:pPr>
        <w:pStyle w:val="FootnoteText"/>
      </w:pPr>
      <w:r w:rsidRPr="00381383">
        <w:rPr>
          <w:rStyle w:val="FootnoteReference"/>
          <w:rFonts w:ascii="Times New Roman" w:hAnsi="Times New Roman" w:cs="Times New Roman"/>
        </w:rPr>
        <w:footnoteRef/>
      </w:r>
      <w:r w:rsidRPr="00381383">
        <w:rPr>
          <w:rFonts w:ascii="Times New Roman" w:hAnsi="Times New Roman" w:cs="Times New Roman"/>
        </w:rPr>
        <w:t xml:space="preserve"> The casual nexus requirement is a result of </w:t>
      </w:r>
      <w:r w:rsidRPr="00381383">
        <w:rPr>
          <w:rFonts w:ascii="Times New Roman" w:hAnsi="Times New Roman" w:cs="Times New Roman"/>
          <w:i/>
        </w:rPr>
        <w:t>eBay</w:t>
      </w:r>
      <w:r w:rsidRPr="00381383">
        <w:rPr>
          <w:rFonts w:ascii="Times New Roman" w:hAnsi="Times New Roman" w:cs="Times New Roman"/>
        </w:rPr>
        <w:t xml:space="preserve">, and one that improved upon the four-factor test outlined in </w:t>
      </w:r>
      <w:r w:rsidRPr="00381383">
        <w:rPr>
          <w:rFonts w:ascii="Times New Roman" w:hAnsi="Times New Roman" w:cs="Times New Roman"/>
          <w:i/>
        </w:rPr>
        <w:t>Chrysler Motors Corp</w:t>
      </w:r>
      <w:r w:rsidRPr="00381383">
        <w:rPr>
          <w:rFonts w:ascii="Times New Roman" w:hAnsi="Times New Roman" w:cs="Times New Roman"/>
        </w:rPr>
        <w:t>.</w:t>
      </w:r>
    </w:p>
  </w:footnote>
  <w:footnote w:id="6">
    <w:p w14:paraId="5DA4CA2E" w14:textId="392CF68C" w:rsidR="006D5E48" w:rsidRPr="00381383" w:rsidRDefault="006D5E48">
      <w:pPr>
        <w:pStyle w:val="FootnoteText"/>
        <w:rPr>
          <w:rFonts w:ascii="Times New Roman" w:hAnsi="Times New Roman" w:cs="Times New Roman"/>
        </w:rPr>
      </w:pPr>
      <w:r w:rsidRPr="00381383">
        <w:rPr>
          <w:rStyle w:val="FootnoteReference"/>
          <w:rFonts w:ascii="Times New Roman" w:hAnsi="Times New Roman" w:cs="Times New Roman"/>
        </w:rPr>
        <w:footnoteRef/>
      </w:r>
      <w:r w:rsidRPr="00381383">
        <w:rPr>
          <w:rFonts w:ascii="Times New Roman" w:hAnsi="Times New Roman" w:cs="Times New Roman"/>
        </w:rPr>
        <w:t xml:space="preserve"> 35 U.S.C. § 283.</w:t>
      </w:r>
    </w:p>
  </w:footnote>
  <w:footnote w:id="7">
    <w:p w14:paraId="4091A1D0" w14:textId="7112968B" w:rsidR="006D5E48" w:rsidRPr="00381383" w:rsidRDefault="006D5E48">
      <w:pPr>
        <w:pStyle w:val="FootnoteText"/>
        <w:rPr>
          <w:rFonts w:ascii="Times New Roman" w:hAnsi="Times New Roman" w:cs="Times New Roman"/>
        </w:rPr>
      </w:pPr>
      <w:r w:rsidRPr="00381383">
        <w:rPr>
          <w:rStyle w:val="FootnoteReference"/>
          <w:rFonts w:ascii="Times New Roman" w:hAnsi="Times New Roman" w:cs="Times New Roman"/>
        </w:rPr>
        <w:footnoteRef/>
      </w:r>
      <w:r w:rsidRPr="00381383">
        <w:rPr>
          <w:rFonts w:ascii="Times New Roman" w:hAnsi="Times New Roman" w:cs="Times New Roman"/>
        </w:rPr>
        <w:t xml:space="preserve"> See "injunction." </w:t>
      </w:r>
      <w:r w:rsidRPr="00381383">
        <w:rPr>
          <w:rFonts w:ascii="Times New Roman" w:hAnsi="Times New Roman" w:cs="Times New Roman"/>
          <w:i/>
          <w:iCs/>
        </w:rPr>
        <w:t>Merriam-Webster.com</w:t>
      </w:r>
      <w:r w:rsidRPr="00381383">
        <w:rPr>
          <w:rFonts w:ascii="Times New Roman" w:hAnsi="Times New Roman" w:cs="Times New Roman"/>
        </w:rPr>
        <w:t>. 2014. http://www.merriam-webster.com (1 October 2014).</w:t>
      </w:r>
    </w:p>
  </w:footnote>
  <w:footnote w:id="8">
    <w:p w14:paraId="6EE0A268" w14:textId="782CE8A2" w:rsidR="006D5E48" w:rsidRPr="00381383" w:rsidRDefault="006D5E48">
      <w:pPr>
        <w:pStyle w:val="FootnoteText"/>
        <w:rPr>
          <w:rFonts w:ascii="Times New Roman" w:hAnsi="Times New Roman" w:cs="Times New Roman"/>
        </w:rPr>
      </w:pPr>
      <w:r w:rsidRPr="00381383">
        <w:rPr>
          <w:rStyle w:val="FootnoteReference"/>
          <w:rFonts w:ascii="Times New Roman" w:hAnsi="Times New Roman" w:cs="Times New Roman"/>
        </w:rPr>
        <w:footnoteRef/>
      </w:r>
      <w:r w:rsidRPr="00381383">
        <w:rPr>
          <w:rFonts w:ascii="Times New Roman" w:hAnsi="Times New Roman" w:cs="Times New Roman"/>
        </w:rPr>
        <w:t xml:space="preserve"> </w:t>
      </w:r>
      <w:r w:rsidRPr="00381383">
        <w:rPr>
          <w:rFonts w:ascii="Times New Roman" w:eastAsia="Times New Roman" w:hAnsi="Times New Roman" w:cs="Times New Roman"/>
          <w:i/>
        </w:rPr>
        <w:t>Chrysler Motors Corp. v. Auto Body Panels of Ohio, Inc.,</w:t>
      </w:r>
      <w:r w:rsidRPr="00381383">
        <w:rPr>
          <w:rFonts w:ascii="Times New Roman" w:eastAsia="Times New Roman" w:hAnsi="Times New Roman" w:cs="Times New Roman"/>
        </w:rPr>
        <w:t xml:space="preserve"> 908 F.2d 951, 952 (Fed. Cir. 1990). </w:t>
      </w:r>
    </w:p>
  </w:footnote>
  <w:footnote w:id="9">
    <w:p w14:paraId="73F7598B" w14:textId="1E43BD00" w:rsidR="006D5E48" w:rsidRPr="00381383" w:rsidRDefault="006D5E48">
      <w:pPr>
        <w:pStyle w:val="FootnoteText"/>
        <w:rPr>
          <w:rFonts w:ascii="Times New Roman" w:hAnsi="Times New Roman" w:cs="Times New Roman"/>
        </w:rPr>
      </w:pPr>
      <w:r w:rsidRPr="00381383">
        <w:rPr>
          <w:rStyle w:val="FootnoteReference"/>
          <w:rFonts w:ascii="Times New Roman" w:hAnsi="Times New Roman" w:cs="Times New Roman"/>
        </w:rPr>
        <w:footnoteRef/>
      </w:r>
      <w:r w:rsidRPr="00381383">
        <w:rPr>
          <w:rFonts w:ascii="Times New Roman" w:hAnsi="Times New Roman" w:cs="Times New Roman"/>
        </w:rPr>
        <w:t xml:space="preserve"> Richardson v. Suzuki Motor Co., Ltd., 868 F.2d 1226, 1247 (Fed. Cir. 1989, cert denied, 110 S. Ct. 154 (1989). </w:t>
      </w:r>
    </w:p>
  </w:footnote>
  <w:footnote w:id="10">
    <w:p w14:paraId="5D99472D" w14:textId="10AB2914" w:rsidR="006D5E48" w:rsidRPr="00381383" w:rsidRDefault="006D5E48">
      <w:pPr>
        <w:pStyle w:val="FootnoteText"/>
        <w:rPr>
          <w:rFonts w:ascii="Times New Roman" w:hAnsi="Times New Roman" w:cs="Times New Roman"/>
        </w:rPr>
      </w:pPr>
      <w:r w:rsidRPr="00381383">
        <w:rPr>
          <w:rStyle w:val="FootnoteReference"/>
          <w:rFonts w:ascii="Times New Roman" w:hAnsi="Times New Roman" w:cs="Times New Roman"/>
        </w:rPr>
        <w:footnoteRef/>
      </w:r>
      <w:r w:rsidRPr="00381383">
        <w:rPr>
          <w:rFonts w:ascii="Times New Roman" w:hAnsi="Times New Roman" w:cs="Times New Roman"/>
        </w:rPr>
        <w:t xml:space="preserve"> This is no longer good law, as will be explained in detail in future sections of this paper.</w:t>
      </w:r>
    </w:p>
  </w:footnote>
  <w:footnote w:id="11">
    <w:p w14:paraId="699E5DEF" w14:textId="7CB21105" w:rsidR="006D5E48" w:rsidRPr="00381383" w:rsidRDefault="006D5E48" w:rsidP="00605709">
      <w:pPr>
        <w:rPr>
          <w:rFonts w:ascii="Times New Roman" w:eastAsia="Times New Roman" w:hAnsi="Times New Roman" w:cs="Times New Roman"/>
        </w:rPr>
      </w:pPr>
      <w:r w:rsidRPr="00381383">
        <w:rPr>
          <w:rStyle w:val="FootnoteReference"/>
          <w:rFonts w:ascii="Times New Roman" w:hAnsi="Times New Roman" w:cs="Times New Roman"/>
        </w:rPr>
        <w:footnoteRef/>
      </w:r>
      <w:r w:rsidRPr="00381383">
        <w:rPr>
          <w:rFonts w:ascii="Times New Roman" w:hAnsi="Times New Roman" w:cs="Times New Roman"/>
        </w:rPr>
        <w:t xml:space="preserve"> </w:t>
      </w:r>
      <w:r w:rsidRPr="00381383">
        <w:rPr>
          <w:rFonts w:ascii="Times New Roman" w:eastAsia="Times New Roman" w:hAnsi="Times New Roman" w:cs="Times New Roman"/>
          <w:i/>
        </w:rPr>
        <w:t>Chrysler Motors Corp. v. Auto Body Panels of Ohio, Inc.,</w:t>
      </w:r>
      <w:r w:rsidRPr="00381383">
        <w:rPr>
          <w:rFonts w:ascii="Times New Roman" w:eastAsia="Times New Roman" w:hAnsi="Times New Roman" w:cs="Times New Roman"/>
        </w:rPr>
        <w:t xml:space="preserve"> 908 F.2d 951, 952 (Fed. Cir. 1990).</w:t>
      </w:r>
    </w:p>
  </w:footnote>
  <w:footnote w:id="12">
    <w:p w14:paraId="23FF00D5" w14:textId="60914C4A" w:rsidR="006D5E48" w:rsidRDefault="006D5E48">
      <w:pPr>
        <w:pStyle w:val="FootnoteText"/>
      </w:pPr>
      <w:r w:rsidRPr="00381383">
        <w:rPr>
          <w:rStyle w:val="FootnoteReference"/>
          <w:rFonts w:ascii="Times New Roman" w:hAnsi="Times New Roman" w:cs="Times New Roman"/>
        </w:rPr>
        <w:footnoteRef/>
      </w:r>
      <w:r w:rsidRPr="00381383">
        <w:rPr>
          <w:rFonts w:ascii="Times New Roman" w:hAnsi="Times New Roman" w:cs="Times New Roman"/>
        </w:rPr>
        <w:t xml:space="preserve"> See </w:t>
      </w:r>
      <w:r w:rsidRPr="00381383">
        <w:rPr>
          <w:rFonts w:ascii="Times New Roman" w:hAnsi="Times New Roman" w:cs="Times New Roman"/>
          <w:i/>
        </w:rPr>
        <w:t>Rosenberg v. GroovPin Corp.</w:t>
      </w:r>
      <w:r w:rsidRPr="00381383">
        <w:rPr>
          <w:rFonts w:ascii="Times New Roman" w:hAnsi="Times New Roman" w:cs="Times New Roman"/>
        </w:rPr>
        <w:t>, 81 F.2d 46 (Fed Cir. 1988).</w:t>
      </w:r>
      <w:r>
        <w:t xml:space="preserve"> </w:t>
      </w:r>
    </w:p>
  </w:footnote>
  <w:footnote w:id="13">
    <w:p w14:paraId="762C3DF7" w14:textId="66CE98B7" w:rsidR="006D5E48" w:rsidRPr="00A86BB2" w:rsidRDefault="006D5E48">
      <w:pPr>
        <w:pStyle w:val="FootnoteText"/>
        <w:rPr>
          <w:rFonts w:ascii="Times New Roman" w:hAnsi="Times New Roman" w:cs="Times New Roman"/>
        </w:rPr>
      </w:pPr>
      <w:r w:rsidRPr="00A86BB2">
        <w:rPr>
          <w:rStyle w:val="FootnoteReference"/>
          <w:rFonts w:ascii="Times New Roman" w:hAnsi="Times New Roman" w:cs="Times New Roman"/>
        </w:rPr>
        <w:footnoteRef/>
      </w:r>
      <w:r w:rsidRPr="00A86BB2">
        <w:rPr>
          <w:rFonts w:ascii="Times New Roman" w:hAnsi="Times New Roman" w:cs="Times New Roman"/>
        </w:rPr>
        <w:t xml:space="preserve"> See </w:t>
      </w:r>
      <w:r w:rsidRPr="00A86BB2">
        <w:rPr>
          <w:rFonts w:ascii="Times New Roman" w:hAnsi="Times New Roman" w:cs="Times New Roman"/>
          <w:i/>
        </w:rPr>
        <w:t>Hybritech Inc. v. Monoclonal Antibodies, Inc.</w:t>
      </w:r>
      <w:r w:rsidRPr="00A86BB2">
        <w:rPr>
          <w:rFonts w:ascii="Times New Roman" w:hAnsi="Times New Roman" w:cs="Times New Roman"/>
        </w:rPr>
        <w:t xml:space="preserve">, 802 F.2d 1367 (Fed Cir. 1986). </w:t>
      </w:r>
    </w:p>
  </w:footnote>
  <w:footnote w:id="14">
    <w:p w14:paraId="7D402D05" w14:textId="4E8C135B" w:rsidR="006D5E48" w:rsidRPr="00A86BB2" w:rsidRDefault="006D5E48" w:rsidP="00A86BB2">
      <w:pPr>
        <w:rPr>
          <w:rFonts w:ascii="Times New Roman" w:eastAsia="Times New Roman" w:hAnsi="Times New Roman" w:cs="Times New Roman"/>
        </w:rPr>
      </w:pPr>
      <w:r w:rsidRPr="00A86BB2">
        <w:rPr>
          <w:rStyle w:val="FootnoteReference"/>
          <w:rFonts w:ascii="Times New Roman" w:hAnsi="Times New Roman" w:cs="Times New Roman"/>
        </w:rPr>
        <w:footnoteRef/>
      </w:r>
      <w:r w:rsidRPr="00A86BB2">
        <w:rPr>
          <w:rFonts w:ascii="Times New Roman" w:hAnsi="Times New Roman" w:cs="Times New Roman"/>
        </w:rPr>
        <w:t xml:space="preserve"> </w:t>
      </w:r>
      <w:r w:rsidRPr="00A86BB2">
        <w:rPr>
          <w:rFonts w:ascii="Times New Roman" w:eastAsia="Times New Roman" w:hAnsi="Times New Roman" w:cs="Times New Roman"/>
          <w:i/>
        </w:rPr>
        <w:t>Odetics, Inc. v. Storage Tech. Corp.,</w:t>
      </w:r>
      <w:r w:rsidRPr="00A86BB2">
        <w:rPr>
          <w:rFonts w:ascii="Times New Roman" w:eastAsia="Times New Roman" w:hAnsi="Times New Roman" w:cs="Times New Roman"/>
        </w:rPr>
        <w:t xml:space="preserve"> 14 F. Supp. 2d 785, 794 (E.D. Va. 1998) </w:t>
      </w:r>
      <w:r w:rsidRPr="00A86BB2">
        <w:rPr>
          <w:rFonts w:ascii="Times New Roman" w:eastAsia="Times New Roman" w:hAnsi="Times New Roman" w:cs="Times New Roman"/>
          <w:u w:val="single"/>
        </w:rPr>
        <w:t>aff'd,</w:t>
      </w:r>
      <w:r w:rsidRPr="00A86BB2">
        <w:rPr>
          <w:rFonts w:ascii="Times New Roman" w:eastAsia="Times New Roman" w:hAnsi="Times New Roman" w:cs="Times New Roman"/>
        </w:rPr>
        <w:t xml:space="preserve"> 185 F.3d 1259 (Fed. Cir. 1999)</w:t>
      </w:r>
      <w:r>
        <w:rPr>
          <w:rFonts w:ascii="Times New Roman" w:eastAsia="Times New Roman" w:hAnsi="Times New Roman" w:cs="Times New Roman"/>
        </w:rPr>
        <w:t>.</w:t>
      </w:r>
    </w:p>
  </w:footnote>
  <w:footnote w:id="15">
    <w:p w14:paraId="4FDA2553" w14:textId="1209C031" w:rsidR="006D5E48" w:rsidRPr="00A86BB2" w:rsidRDefault="006D5E48" w:rsidP="003A225B">
      <w:pPr>
        <w:rPr>
          <w:rFonts w:ascii="Times New Roman" w:eastAsia="Times New Roman" w:hAnsi="Times New Roman" w:cs="Times New Roman"/>
        </w:rPr>
      </w:pPr>
      <w:r w:rsidRPr="00A86BB2">
        <w:rPr>
          <w:rStyle w:val="FootnoteReference"/>
          <w:rFonts w:ascii="Times New Roman" w:hAnsi="Times New Roman" w:cs="Times New Roman"/>
        </w:rPr>
        <w:footnoteRef/>
      </w:r>
      <w:r w:rsidRPr="00A86BB2">
        <w:rPr>
          <w:rFonts w:ascii="Times New Roman" w:hAnsi="Times New Roman" w:cs="Times New Roman"/>
        </w:rPr>
        <w:t xml:space="preserve"> </w:t>
      </w:r>
      <w:r w:rsidRPr="00A86BB2">
        <w:rPr>
          <w:rFonts w:ascii="Times New Roman" w:eastAsia="Times New Roman" w:hAnsi="Times New Roman" w:cs="Times New Roman"/>
          <w:i/>
        </w:rPr>
        <w:t>eBay Inc. v. MercExchange, L.L.C.,</w:t>
      </w:r>
      <w:r w:rsidRPr="00A86BB2">
        <w:rPr>
          <w:rFonts w:ascii="Times New Roman" w:eastAsia="Times New Roman" w:hAnsi="Times New Roman" w:cs="Times New Roman"/>
        </w:rPr>
        <w:t xml:space="preserve"> 547 U.S. 388, 390, 126 S. Ct. 1837, 1839, 164 L. Ed. 2d 641 (2006).</w:t>
      </w:r>
    </w:p>
  </w:footnote>
  <w:footnote w:id="16">
    <w:p w14:paraId="35AC9F6C" w14:textId="5533D698" w:rsidR="006D5E48" w:rsidRPr="00A86BB2" w:rsidRDefault="006D5E48" w:rsidP="0087339B">
      <w:pPr>
        <w:rPr>
          <w:rFonts w:ascii="Times New Roman" w:eastAsia="Times New Roman" w:hAnsi="Times New Roman" w:cs="Times New Roman"/>
        </w:rPr>
      </w:pPr>
      <w:r w:rsidRPr="00A86BB2">
        <w:rPr>
          <w:rStyle w:val="FootnoteReference"/>
          <w:rFonts w:ascii="Times New Roman" w:hAnsi="Times New Roman" w:cs="Times New Roman"/>
        </w:rPr>
        <w:footnoteRef/>
      </w:r>
      <w:r w:rsidRPr="00A86BB2">
        <w:rPr>
          <w:rFonts w:ascii="Times New Roman" w:hAnsi="Times New Roman" w:cs="Times New Roman"/>
        </w:rPr>
        <w:t xml:space="preserve"> </w:t>
      </w:r>
      <w:r w:rsidRPr="00A86BB2">
        <w:rPr>
          <w:rFonts w:ascii="Times New Roman" w:eastAsia="Times New Roman" w:hAnsi="Times New Roman" w:cs="Times New Roman"/>
          <w:i/>
        </w:rPr>
        <w:t>MercExchange, L.L.C. v. eBay, Inc.,</w:t>
      </w:r>
      <w:r w:rsidRPr="00A86BB2">
        <w:rPr>
          <w:rFonts w:ascii="Times New Roman" w:eastAsia="Times New Roman" w:hAnsi="Times New Roman" w:cs="Times New Roman"/>
        </w:rPr>
        <w:t xml:space="preserve"> 275 F. Supp. 2d 695, 722 (E.D. Va. 2003) aff'd in part, rev'd in part sub nom. </w:t>
      </w:r>
      <w:r w:rsidRPr="00A86BB2">
        <w:rPr>
          <w:rFonts w:ascii="Times New Roman" w:eastAsia="Times New Roman" w:hAnsi="Times New Roman" w:cs="Times New Roman"/>
          <w:i/>
        </w:rPr>
        <w:t xml:space="preserve">MercExchange, LLC v. eBay, Inc., </w:t>
      </w:r>
      <w:r w:rsidRPr="00A86BB2">
        <w:rPr>
          <w:rFonts w:ascii="Times New Roman" w:eastAsia="Times New Roman" w:hAnsi="Times New Roman" w:cs="Times New Roman"/>
        </w:rPr>
        <w:t xml:space="preserve">401 F.3d 1323 (Fed. Cir. 2005) vacated and remanded sub nom. </w:t>
      </w:r>
      <w:r w:rsidRPr="00A86BB2">
        <w:rPr>
          <w:rFonts w:ascii="Times New Roman" w:eastAsia="Times New Roman" w:hAnsi="Times New Roman" w:cs="Times New Roman"/>
          <w:i/>
        </w:rPr>
        <w:t>eBay Inc. v. MercExchange, L.L.C.,</w:t>
      </w:r>
      <w:r w:rsidRPr="00A86BB2">
        <w:rPr>
          <w:rFonts w:ascii="Times New Roman" w:eastAsia="Times New Roman" w:hAnsi="Times New Roman" w:cs="Times New Roman"/>
        </w:rPr>
        <w:t xml:space="preserve"> 547 U.S. 388, 126 S. Ct. 1837, 164 L. Ed. 2d 641 (2006) and judgment entered, 660 F. Supp. 2d 653 (E.D. Va. 2007).</w:t>
      </w:r>
    </w:p>
  </w:footnote>
  <w:footnote w:id="17">
    <w:p w14:paraId="0CFEB77F" w14:textId="4CE09710" w:rsidR="006D5E48" w:rsidRDefault="006D5E48">
      <w:pPr>
        <w:pStyle w:val="FootnoteText"/>
      </w:pPr>
      <w:r w:rsidRPr="00A86BB2">
        <w:rPr>
          <w:rStyle w:val="FootnoteReference"/>
          <w:rFonts w:ascii="Times New Roman" w:hAnsi="Times New Roman" w:cs="Times New Roman"/>
        </w:rPr>
        <w:footnoteRef/>
      </w:r>
      <w:r w:rsidRPr="00A86BB2">
        <w:rPr>
          <w:rFonts w:ascii="Times New Roman" w:hAnsi="Times New Roman" w:cs="Times New Roman"/>
        </w:rPr>
        <w:t xml:space="preserve">  Id. at 711.</w:t>
      </w:r>
    </w:p>
  </w:footnote>
  <w:footnote w:id="18">
    <w:p w14:paraId="3304CFDD" w14:textId="587F6C83" w:rsidR="006D5E48" w:rsidRPr="00381383" w:rsidRDefault="006D5E48">
      <w:pPr>
        <w:pStyle w:val="FootnoteText"/>
        <w:rPr>
          <w:rFonts w:ascii="Times New Roman" w:hAnsi="Times New Roman" w:cs="Times New Roman"/>
        </w:rPr>
      </w:pPr>
      <w:r w:rsidRPr="00381383">
        <w:rPr>
          <w:rStyle w:val="FootnoteReference"/>
          <w:rFonts w:ascii="Times New Roman" w:hAnsi="Times New Roman" w:cs="Times New Roman"/>
        </w:rPr>
        <w:footnoteRef/>
      </w:r>
      <w:r w:rsidRPr="00381383">
        <w:rPr>
          <w:rFonts w:ascii="Times New Roman" w:hAnsi="Times New Roman" w:cs="Times New Roman"/>
        </w:rPr>
        <w:t xml:space="preserve"> </w:t>
      </w:r>
      <w:r w:rsidRPr="00A86BB2">
        <w:rPr>
          <w:rFonts w:ascii="Times New Roman" w:eastAsia="Times New Roman" w:hAnsi="Times New Roman" w:cs="Times New Roman"/>
          <w:i/>
        </w:rPr>
        <w:t>MercExchange, L.L.C. v. eBay, Inc.,</w:t>
      </w:r>
      <w:r>
        <w:rPr>
          <w:rFonts w:ascii="Times New Roman" w:eastAsia="Times New Roman" w:hAnsi="Times New Roman" w:cs="Times New Roman"/>
        </w:rPr>
        <w:t xml:space="preserve"> 275 F. Supp. 2d 695, 712</w:t>
      </w:r>
      <w:r w:rsidRPr="00A86BB2">
        <w:rPr>
          <w:rFonts w:ascii="Times New Roman" w:eastAsia="Times New Roman" w:hAnsi="Times New Roman" w:cs="Times New Roman"/>
        </w:rPr>
        <w:t xml:space="preserve"> (E.D. Va. 2003) aff'd in part, rev'd in part sub nom. </w:t>
      </w:r>
      <w:r w:rsidRPr="00A86BB2">
        <w:rPr>
          <w:rFonts w:ascii="Times New Roman" w:eastAsia="Times New Roman" w:hAnsi="Times New Roman" w:cs="Times New Roman"/>
          <w:i/>
        </w:rPr>
        <w:t xml:space="preserve">MercExchange, LLC v. eBay, Inc., </w:t>
      </w:r>
      <w:r w:rsidRPr="00A86BB2">
        <w:rPr>
          <w:rFonts w:ascii="Times New Roman" w:eastAsia="Times New Roman" w:hAnsi="Times New Roman" w:cs="Times New Roman"/>
        </w:rPr>
        <w:t xml:space="preserve">401 F.3d 1323 (Fed. Cir. 2005) vacated and remanded sub nom. </w:t>
      </w:r>
      <w:r w:rsidRPr="00A86BB2">
        <w:rPr>
          <w:rFonts w:ascii="Times New Roman" w:eastAsia="Times New Roman" w:hAnsi="Times New Roman" w:cs="Times New Roman"/>
          <w:i/>
        </w:rPr>
        <w:t>eBay Inc. v. MercExchange, L.L.C.,</w:t>
      </w:r>
      <w:r w:rsidRPr="00A86BB2">
        <w:rPr>
          <w:rFonts w:ascii="Times New Roman" w:eastAsia="Times New Roman" w:hAnsi="Times New Roman" w:cs="Times New Roman"/>
        </w:rPr>
        <w:t xml:space="preserve"> 547 U.S. 388, 126 S. Ct. 1837, 164 L. Ed. 2d 641 (2006) and judgment entered, 660 F. Supp. 2d 653 (E.D. Va. 2007).</w:t>
      </w:r>
    </w:p>
  </w:footnote>
  <w:footnote w:id="19">
    <w:p w14:paraId="5BCB33D7" w14:textId="4F5FEEF6" w:rsidR="006D5E48" w:rsidRPr="00381383" w:rsidRDefault="006D5E48" w:rsidP="0050486E">
      <w:pPr>
        <w:rPr>
          <w:rFonts w:ascii="Times New Roman" w:eastAsia="Times New Roman" w:hAnsi="Times New Roman" w:cs="Times New Roman"/>
        </w:rPr>
      </w:pPr>
      <w:r w:rsidRPr="00381383">
        <w:rPr>
          <w:rStyle w:val="FootnoteReference"/>
          <w:rFonts w:ascii="Times New Roman" w:hAnsi="Times New Roman" w:cs="Times New Roman"/>
        </w:rPr>
        <w:footnoteRef/>
      </w:r>
      <w:r w:rsidRPr="00381383">
        <w:rPr>
          <w:rFonts w:ascii="Times New Roman" w:hAnsi="Times New Roman" w:cs="Times New Roman"/>
        </w:rPr>
        <w:t xml:space="preserve">  See </w:t>
      </w:r>
      <w:r w:rsidRPr="00381383">
        <w:rPr>
          <w:rFonts w:ascii="Times New Roman" w:eastAsia="Times New Roman" w:hAnsi="Times New Roman" w:cs="Times New Roman"/>
          <w:i/>
        </w:rPr>
        <w:t>MercExchange, LLC v. eBay, Inc.,</w:t>
      </w:r>
      <w:r w:rsidRPr="00381383">
        <w:rPr>
          <w:rFonts w:ascii="Times New Roman" w:eastAsia="Times New Roman" w:hAnsi="Times New Roman" w:cs="Times New Roman"/>
        </w:rPr>
        <w:t xml:space="preserve"> 401 F.3d 1323, 1339 (Fed. Cir. 2005) vacated and remanded sub nom. </w:t>
      </w:r>
      <w:r w:rsidRPr="00381383">
        <w:rPr>
          <w:rFonts w:ascii="Times New Roman" w:eastAsia="Times New Roman" w:hAnsi="Times New Roman" w:cs="Times New Roman"/>
          <w:i/>
        </w:rPr>
        <w:t>eBay Inc. v. MercExchange, L.L.C.,</w:t>
      </w:r>
      <w:r w:rsidRPr="00381383">
        <w:rPr>
          <w:rFonts w:ascii="Times New Roman" w:eastAsia="Times New Roman" w:hAnsi="Times New Roman" w:cs="Times New Roman"/>
        </w:rPr>
        <w:t xml:space="preserve"> 547 U.S. 388, 126 S. Ct. 1837, 164 L. Ed. 2d 641 (2006). </w:t>
      </w:r>
    </w:p>
  </w:footnote>
  <w:footnote w:id="20">
    <w:p w14:paraId="352BCDD6" w14:textId="77777777" w:rsidR="006D5E48" w:rsidRDefault="006D5E48" w:rsidP="00DB4B57">
      <w:pPr>
        <w:pStyle w:val="FootnoteText"/>
      </w:pPr>
      <w:r w:rsidRPr="00381383">
        <w:rPr>
          <w:rStyle w:val="FootnoteReference"/>
          <w:rFonts w:ascii="Times New Roman" w:hAnsi="Times New Roman" w:cs="Times New Roman"/>
        </w:rPr>
        <w:footnoteRef/>
      </w:r>
      <w:r w:rsidRPr="00381383">
        <w:rPr>
          <w:rFonts w:ascii="Times New Roman" w:hAnsi="Times New Roman" w:cs="Times New Roman"/>
        </w:rPr>
        <w:t xml:space="preserve"> 35 U.S.C.</w:t>
      </w:r>
      <w:r w:rsidRPr="00381383">
        <w:rPr>
          <w:rFonts w:ascii="Times New Roman" w:hAnsi="Times New Roman" w:cs="Times New Roman"/>
          <w:color w:val="1C1C1C"/>
        </w:rPr>
        <w:t xml:space="preserve"> § 154(a)(1)-(2).</w:t>
      </w:r>
    </w:p>
  </w:footnote>
  <w:footnote w:id="21">
    <w:p w14:paraId="6C84494E" w14:textId="77777777" w:rsidR="006D5E48" w:rsidRDefault="006D5E48" w:rsidP="00DB4B57">
      <w:pPr>
        <w:pStyle w:val="FootnoteText"/>
      </w:pPr>
      <w:r>
        <w:rPr>
          <w:rStyle w:val="FootnoteReference"/>
        </w:rPr>
        <w:footnoteRef/>
      </w:r>
      <w:r>
        <w:t xml:space="preserve"> Patent trolls, or non-practicing entities, whose whole business model is acquiring and reselling patent rights, will be discussed later in this paper.</w:t>
      </w:r>
    </w:p>
  </w:footnote>
  <w:footnote w:id="22">
    <w:p w14:paraId="29FD28E1" w14:textId="77777777" w:rsidR="006D5E48" w:rsidRDefault="006D5E48" w:rsidP="00DB4B57">
      <w:pPr>
        <w:pStyle w:val="FootnoteText"/>
      </w:pPr>
      <w:r>
        <w:rPr>
          <w:rStyle w:val="FootnoteReference"/>
        </w:rPr>
        <w:footnoteRef/>
      </w:r>
      <w:r>
        <w:t xml:space="preserve"> The length of term for a patent has changes several times over the years. Currently, patent holders may enjoy 20 years of protection from the time their patent application is filed, so long as the maintenance fees are paid on time.</w:t>
      </w:r>
    </w:p>
  </w:footnote>
  <w:footnote w:id="23">
    <w:p w14:paraId="7015F6CF" w14:textId="40BC6E32" w:rsidR="006D5E48" w:rsidRDefault="006D5E48" w:rsidP="00DB4B57">
      <w:pPr>
        <w:pStyle w:val="FootnoteText"/>
      </w:pPr>
      <w:r>
        <w:rPr>
          <w:rStyle w:val="FootnoteReference"/>
        </w:rPr>
        <w:footnoteRef/>
      </w:r>
      <w:r>
        <w:t xml:space="preserve"> This again is coming from a natural rights perspective of the patent law system.</w:t>
      </w:r>
    </w:p>
  </w:footnote>
  <w:footnote w:id="24">
    <w:p w14:paraId="15AA5073" w14:textId="17DC3A00" w:rsidR="006D5E48" w:rsidRDefault="006D5E48" w:rsidP="00DB4B57">
      <w:pPr>
        <w:pStyle w:val="FootnoteText"/>
      </w:pPr>
      <w:r>
        <w:rPr>
          <w:rStyle w:val="FootnoteReference"/>
        </w:rPr>
        <w:footnoteRef/>
      </w:r>
      <w:r>
        <w:t xml:space="preserve"> This concept actually already exists. Websites like </w:t>
      </w:r>
      <w:r w:rsidRPr="00F84CE6">
        <w:rPr>
          <w:i/>
        </w:rPr>
        <w:t>The Internet Wish List</w:t>
      </w:r>
      <w:r>
        <w:t xml:space="preserve"> (</w:t>
      </w:r>
      <w:r w:rsidRPr="00F84CE6">
        <w:t>http://www.theinternetwishlist.com</w:t>
      </w:r>
      <w:r>
        <w:t>) allow people with ideas to post them online, for anyone to look at and think about. Individuals with the resources and know-how necessary to actually carry out the invention may then copy idea, come up with a product, and sell the product.</w:t>
      </w:r>
    </w:p>
  </w:footnote>
  <w:footnote w:id="25">
    <w:p w14:paraId="6BEC7A88" w14:textId="73E1AF27" w:rsidR="006D5E48" w:rsidRPr="00381383" w:rsidRDefault="006D5E48">
      <w:pPr>
        <w:pStyle w:val="FootnoteText"/>
        <w:rPr>
          <w:rFonts w:ascii="Times New Roman" w:hAnsi="Times New Roman" w:cs="Times New Roman"/>
        </w:rPr>
      </w:pPr>
      <w:r w:rsidRPr="00381383">
        <w:rPr>
          <w:rStyle w:val="FootnoteReference"/>
          <w:rFonts w:ascii="Times New Roman" w:hAnsi="Times New Roman" w:cs="Times New Roman"/>
        </w:rPr>
        <w:footnoteRef/>
      </w:r>
      <w:r w:rsidRPr="00381383">
        <w:rPr>
          <w:rFonts w:ascii="Times New Roman" w:hAnsi="Times New Roman" w:cs="Times New Roman"/>
        </w:rPr>
        <w:t xml:space="preserve">  </w:t>
      </w:r>
      <w:r w:rsidRPr="00A86BB2">
        <w:rPr>
          <w:rFonts w:ascii="Times New Roman" w:eastAsia="Times New Roman" w:hAnsi="Times New Roman" w:cs="Times New Roman"/>
          <w:i/>
        </w:rPr>
        <w:t>Odetics, Inc. v. Storage Tech. Corp.,</w:t>
      </w:r>
      <w:r w:rsidRPr="00A86BB2">
        <w:rPr>
          <w:rFonts w:ascii="Times New Roman" w:eastAsia="Times New Roman" w:hAnsi="Times New Roman" w:cs="Times New Roman"/>
        </w:rPr>
        <w:t xml:space="preserve"> 14 F. Supp. 2d 785, 794 (E.D. Va. 1998) </w:t>
      </w:r>
      <w:r w:rsidRPr="00A86BB2">
        <w:rPr>
          <w:rFonts w:ascii="Times New Roman" w:eastAsia="Times New Roman" w:hAnsi="Times New Roman" w:cs="Times New Roman"/>
          <w:u w:val="single"/>
        </w:rPr>
        <w:t>aff'd,</w:t>
      </w:r>
      <w:r w:rsidRPr="00A86BB2">
        <w:rPr>
          <w:rFonts w:ascii="Times New Roman" w:eastAsia="Times New Roman" w:hAnsi="Times New Roman" w:cs="Times New Roman"/>
        </w:rPr>
        <w:t xml:space="preserve"> 185 F.3d 1259 (Fed. Cir. 1999)</w:t>
      </w:r>
      <w:r>
        <w:rPr>
          <w:rFonts w:ascii="Times New Roman" w:eastAsia="Times New Roman" w:hAnsi="Times New Roman" w:cs="Times New Roman"/>
        </w:rPr>
        <w:t>.</w:t>
      </w:r>
    </w:p>
  </w:footnote>
  <w:footnote w:id="26">
    <w:p w14:paraId="3A8AC9B4" w14:textId="420AFCAE" w:rsidR="006D5E48" w:rsidRPr="00381383" w:rsidRDefault="006D5E48">
      <w:pPr>
        <w:pStyle w:val="FootnoteText"/>
        <w:rPr>
          <w:rFonts w:ascii="Times New Roman" w:hAnsi="Times New Roman" w:cs="Times New Roman"/>
        </w:rPr>
      </w:pPr>
      <w:r w:rsidRPr="00381383">
        <w:rPr>
          <w:rStyle w:val="FootnoteReference"/>
          <w:rFonts w:ascii="Times New Roman" w:hAnsi="Times New Roman" w:cs="Times New Roman"/>
        </w:rPr>
        <w:footnoteRef/>
      </w:r>
      <w:r w:rsidRPr="00381383">
        <w:rPr>
          <w:rFonts w:ascii="Times New Roman" w:hAnsi="Times New Roman" w:cs="Times New Roman"/>
        </w:rPr>
        <w:t xml:space="preserve">  </w:t>
      </w:r>
      <w:r w:rsidRPr="00381383">
        <w:rPr>
          <w:rFonts w:ascii="Times New Roman" w:eastAsia="Times New Roman" w:hAnsi="Times New Roman" w:cs="Times New Roman"/>
          <w:i/>
        </w:rPr>
        <w:t>eBay Inc. v. MercExchange, L.L.C.,</w:t>
      </w:r>
      <w:r w:rsidRPr="00381383">
        <w:rPr>
          <w:rFonts w:ascii="Times New Roman" w:eastAsia="Times New Roman" w:hAnsi="Times New Roman" w:cs="Times New Roman"/>
        </w:rPr>
        <w:t xml:space="preserve"> 547 U.S. 388, 391, 126 S. Ct. 1837, 1839, 164 L. Ed. 2d 641 (2006).</w:t>
      </w:r>
    </w:p>
  </w:footnote>
  <w:footnote w:id="27">
    <w:p w14:paraId="3665F3EF" w14:textId="0270770B" w:rsidR="006D5E48" w:rsidRPr="00381383" w:rsidRDefault="006D5E48">
      <w:pPr>
        <w:pStyle w:val="FootnoteText"/>
        <w:rPr>
          <w:rFonts w:ascii="Times New Roman" w:hAnsi="Times New Roman" w:cs="Times New Roman"/>
        </w:rPr>
      </w:pPr>
      <w:r w:rsidRPr="00381383">
        <w:rPr>
          <w:rStyle w:val="FootnoteReference"/>
          <w:rFonts w:ascii="Times New Roman" w:hAnsi="Times New Roman" w:cs="Times New Roman"/>
        </w:rPr>
        <w:footnoteRef/>
      </w:r>
      <w:r w:rsidRPr="00381383">
        <w:rPr>
          <w:rFonts w:ascii="Times New Roman" w:hAnsi="Times New Roman" w:cs="Times New Roman"/>
        </w:rPr>
        <w:t xml:space="preserve"> Monetary damages may be in the form of a reasonably royalty like that which would be awarded in the absence of a permanent injunction.</w:t>
      </w:r>
    </w:p>
  </w:footnote>
  <w:footnote w:id="28">
    <w:p w14:paraId="790195DF" w14:textId="6F239C96" w:rsidR="006D5E48" w:rsidRPr="006D5E48" w:rsidRDefault="006D5E48">
      <w:pPr>
        <w:pStyle w:val="FootnoteText"/>
        <w:rPr>
          <w:rFonts w:ascii="Times New Roman" w:hAnsi="Times New Roman" w:cs="Times New Roman"/>
        </w:rPr>
      </w:pPr>
      <w:r w:rsidRPr="006D5E48">
        <w:rPr>
          <w:rStyle w:val="FootnoteReference"/>
          <w:rFonts w:ascii="Times New Roman" w:hAnsi="Times New Roman" w:cs="Times New Roman"/>
        </w:rPr>
        <w:footnoteRef/>
      </w:r>
      <w:r w:rsidRPr="006D5E48">
        <w:rPr>
          <w:rFonts w:ascii="Times New Roman" w:hAnsi="Times New Roman" w:cs="Times New Roman"/>
        </w:rPr>
        <w:t xml:space="preserve"> U.S. Code: Title 35. </w:t>
      </w:r>
    </w:p>
  </w:footnote>
  <w:footnote w:id="29">
    <w:p w14:paraId="2D77270E" w14:textId="3108DCE2" w:rsidR="006D5E48" w:rsidRPr="006D5E48" w:rsidRDefault="006D5E48" w:rsidP="008B109D">
      <w:pPr>
        <w:rPr>
          <w:rFonts w:ascii="Times New Roman" w:eastAsia="Times New Roman" w:hAnsi="Times New Roman" w:cs="Times New Roman"/>
        </w:rPr>
      </w:pPr>
      <w:r w:rsidRPr="006D5E48">
        <w:rPr>
          <w:rStyle w:val="FootnoteReference"/>
          <w:rFonts w:ascii="Times New Roman" w:hAnsi="Times New Roman" w:cs="Times New Roman"/>
        </w:rPr>
        <w:footnoteRef/>
      </w:r>
      <w:r w:rsidRPr="006D5E48">
        <w:rPr>
          <w:rFonts w:ascii="Times New Roman" w:hAnsi="Times New Roman" w:cs="Times New Roman"/>
        </w:rPr>
        <w:t xml:space="preserve"> </w:t>
      </w:r>
      <w:r w:rsidRPr="006D5E48">
        <w:rPr>
          <w:rFonts w:ascii="Times New Roman" w:eastAsia="Times New Roman" w:hAnsi="Times New Roman" w:cs="Times New Roman"/>
          <w:i/>
        </w:rPr>
        <w:t>Weinberger v. Romero-Barcelo,</w:t>
      </w:r>
      <w:r w:rsidRPr="006D5E48">
        <w:rPr>
          <w:rFonts w:ascii="Times New Roman" w:eastAsia="Times New Roman" w:hAnsi="Times New Roman" w:cs="Times New Roman"/>
        </w:rPr>
        <w:t xml:space="preserve"> 456 U.S. 305, 307, 102 S. Ct. 1798, 1800, 72 L. Ed. 2d 91 (1982); See also </w:t>
      </w:r>
      <w:r w:rsidRPr="006D5E48">
        <w:rPr>
          <w:rFonts w:ascii="Times New Roman" w:hAnsi="Times New Roman" w:cs="Times New Roman"/>
          <w:i/>
          <w:iCs/>
        </w:rPr>
        <w:t>Amoco,</w:t>
      </w:r>
      <w:r w:rsidRPr="006D5E48">
        <w:rPr>
          <w:rFonts w:ascii="Times New Roman" w:hAnsi="Times New Roman" w:cs="Times New Roman"/>
        </w:rPr>
        <w:t xml:space="preserve"> </w:t>
      </w:r>
      <w:r w:rsidRPr="006D5E48">
        <w:rPr>
          <w:rFonts w:ascii="Times New Roman" w:hAnsi="Times New Roman" w:cs="Times New Roman"/>
          <w:i/>
          <w:iCs/>
        </w:rPr>
        <w:t>supra,</w:t>
      </w:r>
      <w:r w:rsidRPr="006D5E48">
        <w:rPr>
          <w:rFonts w:ascii="Times New Roman" w:hAnsi="Times New Roman" w:cs="Times New Roman"/>
        </w:rPr>
        <w:t xml:space="preserve"> at 542, 107 S.Ct. 1396.</w:t>
      </w:r>
    </w:p>
  </w:footnote>
  <w:footnote w:id="30">
    <w:p w14:paraId="1F762823" w14:textId="7203237F" w:rsidR="006D5E48" w:rsidRPr="006D5E48" w:rsidRDefault="006D5E48" w:rsidP="000D4434">
      <w:pPr>
        <w:rPr>
          <w:rFonts w:ascii="Times New Roman" w:eastAsia="Times New Roman" w:hAnsi="Times New Roman" w:cs="Times New Roman"/>
        </w:rPr>
      </w:pPr>
      <w:r w:rsidRPr="006D5E48">
        <w:rPr>
          <w:rStyle w:val="FootnoteReference"/>
          <w:rFonts w:ascii="Times New Roman" w:hAnsi="Times New Roman" w:cs="Times New Roman"/>
        </w:rPr>
        <w:footnoteRef/>
      </w:r>
      <w:r w:rsidRPr="006D5E48">
        <w:rPr>
          <w:rFonts w:ascii="Times New Roman" w:hAnsi="Times New Roman" w:cs="Times New Roman"/>
        </w:rPr>
        <w:t xml:space="preserve"> </w:t>
      </w:r>
      <w:r w:rsidRPr="001A1C51">
        <w:rPr>
          <w:rFonts w:ascii="Times New Roman" w:eastAsia="Times New Roman" w:hAnsi="Times New Roman" w:cs="Times New Roman"/>
          <w:i/>
        </w:rPr>
        <w:t>eBay Inc. v. MercExchange, L.L.C.,</w:t>
      </w:r>
      <w:r w:rsidRPr="006D5E48">
        <w:rPr>
          <w:rFonts w:ascii="Times New Roman" w:eastAsia="Times New Roman" w:hAnsi="Times New Roman" w:cs="Times New Roman"/>
        </w:rPr>
        <w:t xml:space="preserve"> 547 U.S. 388, 391-92, 126 S. Ct. 1837, 1839, 164 L. Ed. 2d 641 (2006).</w:t>
      </w:r>
    </w:p>
  </w:footnote>
  <w:footnote w:id="31">
    <w:p w14:paraId="6BB39EA2" w14:textId="37A1C1A7" w:rsidR="006D5E48" w:rsidRPr="006D5E48" w:rsidRDefault="006D5E48">
      <w:pPr>
        <w:pStyle w:val="FootnoteText"/>
        <w:rPr>
          <w:rFonts w:ascii="Times New Roman" w:hAnsi="Times New Roman" w:cs="Times New Roman"/>
        </w:rPr>
      </w:pPr>
      <w:r w:rsidRPr="006D5E48">
        <w:rPr>
          <w:rStyle w:val="FootnoteReference"/>
          <w:rFonts w:ascii="Times New Roman" w:hAnsi="Times New Roman" w:cs="Times New Roman"/>
        </w:rPr>
        <w:footnoteRef/>
      </w:r>
      <w:r w:rsidRPr="006D5E48">
        <w:rPr>
          <w:rFonts w:ascii="Times New Roman" w:hAnsi="Times New Roman" w:cs="Times New Roman"/>
        </w:rPr>
        <w:t xml:space="preserve"> 35 U.S.C. § 283. </w:t>
      </w:r>
    </w:p>
  </w:footnote>
  <w:footnote w:id="32">
    <w:p w14:paraId="14EA17D0" w14:textId="7D68A6FE" w:rsidR="006D5E48" w:rsidRPr="006D5E48" w:rsidRDefault="006D5E48" w:rsidP="00224A9D">
      <w:pPr>
        <w:rPr>
          <w:rFonts w:ascii="Times New Roman" w:eastAsia="Times New Roman" w:hAnsi="Times New Roman" w:cs="Times New Roman"/>
        </w:rPr>
      </w:pPr>
      <w:r w:rsidRPr="006D5E48">
        <w:rPr>
          <w:rStyle w:val="FootnoteReference"/>
          <w:rFonts w:ascii="Times New Roman" w:hAnsi="Times New Roman" w:cs="Times New Roman"/>
        </w:rPr>
        <w:footnoteRef/>
      </w:r>
      <w:r w:rsidRPr="006D5E48">
        <w:rPr>
          <w:rFonts w:ascii="Times New Roman" w:hAnsi="Times New Roman" w:cs="Times New Roman"/>
        </w:rPr>
        <w:t xml:space="preserve"> </w:t>
      </w:r>
      <w:r w:rsidRPr="006D5E48">
        <w:rPr>
          <w:rFonts w:ascii="Times New Roman" w:eastAsia="Times New Roman" w:hAnsi="Times New Roman" w:cs="Times New Roman"/>
        </w:rPr>
        <w:t>35 USCA § 154.</w:t>
      </w:r>
    </w:p>
  </w:footnote>
  <w:footnote w:id="33">
    <w:p w14:paraId="6DCC6A29" w14:textId="08506633" w:rsidR="006D5E48" w:rsidRPr="005C27C5" w:rsidRDefault="006D5E48">
      <w:pPr>
        <w:pStyle w:val="FootnoteText"/>
        <w:rPr>
          <w:rFonts w:ascii="Times New Roman" w:hAnsi="Times New Roman" w:cs="Times New Roman"/>
        </w:rPr>
      </w:pPr>
      <w:r w:rsidRPr="006D5E48">
        <w:rPr>
          <w:rStyle w:val="FootnoteReference"/>
          <w:rFonts w:ascii="Times New Roman" w:hAnsi="Times New Roman" w:cs="Times New Roman"/>
        </w:rPr>
        <w:footnoteRef/>
      </w:r>
      <w:r w:rsidRPr="006D5E48">
        <w:rPr>
          <w:rFonts w:ascii="Times New Roman" w:hAnsi="Times New Roman" w:cs="Times New Roman"/>
        </w:rPr>
        <w:t xml:space="preserve"> </w:t>
      </w:r>
      <w:r w:rsidR="001A1C51" w:rsidRPr="001A1C51">
        <w:rPr>
          <w:rFonts w:ascii="Times New Roman" w:eastAsia="Times New Roman" w:hAnsi="Times New Roman" w:cs="Times New Roman"/>
          <w:i/>
        </w:rPr>
        <w:t>eBay Inc. v. MercExchange, L.L.C.,</w:t>
      </w:r>
      <w:r w:rsidR="001A1C51">
        <w:rPr>
          <w:rFonts w:ascii="Times New Roman" w:eastAsia="Times New Roman" w:hAnsi="Times New Roman" w:cs="Times New Roman"/>
        </w:rPr>
        <w:t xml:space="preserve"> 547 U.S. 388, 3</w:t>
      </w:r>
      <w:r w:rsidR="001A1C51" w:rsidRPr="006D5E48">
        <w:rPr>
          <w:rFonts w:ascii="Times New Roman" w:eastAsia="Times New Roman" w:hAnsi="Times New Roman" w:cs="Times New Roman"/>
        </w:rPr>
        <w:t>92, 126 S. Ct. 1837, 1839, 164 L. Ed. 2d 641 (2006).</w:t>
      </w:r>
    </w:p>
  </w:footnote>
  <w:footnote w:id="34">
    <w:p w14:paraId="2FD1A354" w14:textId="02FB9878" w:rsidR="006D5E48" w:rsidRPr="008656E1" w:rsidRDefault="006D5E48">
      <w:pPr>
        <w:pStyle w:val="FootnoteText"/>
        <w:rPr>
          <w:rFonts w:ascii="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35 U.S.C. § 283.</w:t>
      </w:r>
    </w:p>
  </w:footnote>
  <w:footnote w:id="35">
    <w:p w14:paraId="7880F903" w14:textId="2E463A49" w:rsidR="006D5E48" w:rsidRPr="008656E1" w:rsidRDefault="006D5E48">
      <w:pPr>
        <w:pStyle w:val="FootnoteText"/>
        <w:rPr>
          <w:rFonts w:ascii="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See Id.</w:t>
      </w:r>
    </w:p>
  </w:footnote>
  <w:footnote w:id="36">
    <w:p w14:paraId="44EDFE3A" w14:textId="62FDD995" w:rsidR="006D5E48" w:rsidRPr="008656E1" w:rsidRDefault="006D5E48" w:rsidP="00F06B4D">
      <w:pPr>
        <w:pStyle w:val="FootnoteText"/>
        <w:rPr>
          <w:rFonts w:ascii="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w:t>
      </w:r>
      <w:r w:rsidRPr="008656E1">
        <w:rPr>
          <w:rFonts w:ascii="Times New Roman" w:eastAsia="Times New Roman" w:hAnsi="Times New Roman" w:cs="Times New Roman"/>
          <w:i/>
        </w:rPr>
        <w:t>eBay Inc. v. MercExchange, L.L.C.,</w:t>
      </w:r>
      <w:r w:rsidRPr="008656E1">
        <w:rPr>
          <w:rFonts w:ascii="Times New Roman" w:eastAsia="Times New Roman" w:hAnsi="Times New Roman" w:cs="Times New Roman"/>
        </w:rPr>
        <w:t xml:space="preserve"> 547 U.S. 92, 126 S. Ct. 1837, 1839, 164 L. Ed. 2d 641 (2006).</w:t>
      </w:r>
    </w:p>
  </w:footnote>
  <w:footnote w:id="37">
    <w:p w14:paraId="4A4694D4" w14:textId="7747A4BD" w:rsidR="006D5E48" w:rsidRPr="008656E1" w:rsidRDefault="006D5E48" w:rsidP="00F06B4D">
      <w:pPr>
        <w:rPr>
          <w:rFonts w:ascii="Times New Roman" w:eastAsia="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w:t>
      </w:r>
      <w:r w:rsidRPr="008656E1">
        <w:rPr>
          <w:rFonts w:ascii="Times New Roman" w:eastAsia="Times New Roman" w:hAnsi="Times New Roman" w:cs="Times New Roman"/>
        </w:rPr>
        <w:t xml:space="preserve">See Id. at 392-93; See also </w:t>
      </w:r>
      <w:r w:rsidRPr="008656E1">
        <w:rPr>
          <w:rFonts w:ascii="Times New Roman" w:hAnsi="Times New Roman" w:cs="Times New Roman"/>
          <w:i/>
          <w:iCs/>
        </w:rPr>
        <w:t xml:space="preserve">New York Times Co. v. Tasini, </w:t>
      </w:r>
      <w:r w:rsidRPr="008656E1">
        <w:rPr>
          <w:rFonts w:ascii="Times New Roman" w:hAnsi="Times New Roman" w:cs="Times New Roman"/>
        </w:rPr>
        <w:t xml:space="preserve">533 U.S. 483, 505, 121 S.Ct. 2381, 150 L.Ed.2d 500 (2001) (citing </w:t>
      </w:r>
      <w:r w:rsidRPr="008656E1">
        <w:rPr>
          <w:rFonts w:ascii="Times New Roman" w:hAnsi="Times New Roman" w:cs="Times New Roman"/>
          <w:i/>
          <w:iCs/>
        </w:rPr>
        <w:t>Campbell v. Acuff–Rose Music, Inc.,</w:t>
      </w:r>
      <w:r w:rsidRPr="008656E1">
        <w:rPr>
          <w:rFonts w:ascii="Times New Roman" w:hAnsi="Times New Roman" w:cs="Times New Roman"/>
        </w:rPr>
        <w:t xml:space="preserve"> 510 U.S. 569, 578, n. 10, 114 S.Ct. 1164, 127 L.Ed.2d 500 (1994)); </w:t>
      </w:r>
      <w:r w:rsidRPr="008656E1">
        <w:rPr>
          <w:rFonts w:ascii="Times New Roman" w:hAnsi="Times New Roman" w:cs="Times New Roman"/>
          <w:i/>
          <w:iCs/>
        </w:rPr>
        <w:t>Dun v. Lumbermen's Credit Assn.,</w:t>
      </w:r>
      <w:r w:rsidRPr="008656E1">
        <w:rPr>
          <w:rFonts w:ascii="Times New Roman" w:hAnsi="Times New Roman" w:cs="Times New Roman"/>
        </w:rPr>
        <w:t xml:space="preserve"> 209 U.S. 20, 23–24, 28 S.Ct. 335, 52 L.Ed. 663 (1908).</w:t>
      </w:r>
    </w:p>
  </w:footnote>
  <w:footnote w:id="38">
    <w:p w14:paraId="12D2DE04" w14:textId="4E789F51" w:rsidR="006D5E48" w:rsidRPr="008656E1" w:rsidRDefault="006D5E48">
      <w:pPr>
        <w:pStyle w:val="FootnoteText"/>
        <w:rPr>
          <w:rFonts w:ascii="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w:t>
      </w:r>
      <w:r w:rsidRPr="008656E1">
        <w:rPr>
          <w:rFonts w:ascii="Times New Roman" w:eastAsia="Times New Roman" w:hAnsi="Times New Roman" w:cs="Times New Roman"/>
          <w:i/>
        </w:rPr>
        <w:t>eBay Inc. v. MercExchange, L.L.C.,</w:t>
      </w:r>
      <w:r w:rsidRPr="008656E1">
        <w:rPr>
          <w:rFonts w:ascii="Times New Roman" w:eastAsia="Times New Roman" w:hAnsi="Times New Roman" w:cs="Times New Roman"/>
        </w:rPr>
        <w:t xml:space="preserve"> 547 U.S. 388, 393, 126 S. Ct. 1837, 1840, 164 L. Ed. 2d 641 (2006)</w:t>
      </w:r>
      <w:r w:rsidR="008656E1">
        <w:rPr>
          <w:rFonts w:ascii="Times New Roman" w:eastAsia="Times New Roman" w:hAnsi="Times New Roman" w:cs="Times New Roman"/>
        </w:rPr>
        <w:t>.</w:t>
      </w:r>
    </w:p>
  </w:footnote>
  <w:footnote w:id="39">
    <w:p w14:paraId="6B4213AD" w14:textId="2D22BE89" w:rsidR="006D5E48" w:rsidRPr="00F06B4D" w:rsidRDefault="006D5E48" w:rsidP="00F06B4D">
      <w:pPr>
        <w:rPr>
          <w:rFonts w:ascii="Times New Roman" w:eastAsia="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w:t>
      </w:r>
      <w:r w:rsidRPr="008656E1">
        <w:rPr>
          <w:rFonts w:ascii="Times New Roman" w:eastAsia="Times New Roman" w:hAnsi="Times New Roman" w:cs="Times New Roman"/>
          <w:i/>
        </w:rPr>
        <w:t>Mercexchange, L.L.C. v. eBay, Inc.,</w:t>
      </w:r>
      <w:r w:rsidRPr="008656E1">
        <w:rPr>
          <w:rFonts w:ascii="Times New Roman" w:eastAsia="Times New Roman" w:hAnsi="Times New Roman" w:cs="Times New Roman"/>
        </w:rPr>
        <w:t xml:space="preserve"> 275 F. Supp. 2d 695, 712 (E.D. Va. 2003) aff'd in part, rev'd in part sub nom. </w:t>
      </w:r>
      <w:r w:rsidRPr="008656E1">
        <w:rPr>
          <w:rFonts w:ascii="Times New Roman" w:eastAsia="Times New Roman" w:hAnsi="Times New Roman" w:cs="Times New Roman"/>
          <w:i/>
        </w:rPr>
        <w:t>MercExchange, LLC v. eBay, Inc.,</w:t>
      </w:r>
      <w:r w:rsidRPr="008656E1">
        <w:rPr>
          <w:rFonts w:ascii="Times New Roman" w:eastAsia="Times New Roman" w:hAnsi="Times New Roman" w:cs="Times New Roman"/>
        </w:rPr>
        <w:t xml:space="preserve"> 401 F.3d 1323 (Fed. Cir. 2005) vacated and remanded sub nom. </w:t>
      </w:r>
      <w:r w:rsidRPr="008656E1">
        <w:rPr>
          <w:rFonts w:ascii="Times New Roman" w:eastAsia="Times New Roman" w:hAnsi="Times New Roman" w:cs="Times New Roman"/>
          <w:i/>
        </w:rPr>
        <w:t>eBay Inc. v. MercExchange, L.L.C.,</w:t>
      </w:r>
      <w:r w:rsidRPr="008656E1">
        <w:rPr>
          <w:rFonts w:ascii="Times New Roman" w:eastAsia="Times New Roman" w:hAnsi="Times New Roman" w:cs="Times New Roman"/>
        </w:rPr>
        <w:t xml:space="preserve"> 547 U.S. 388, 126 S. Ct. 1837, 164 L. Ed. 2d 641 (2006) and judgment entered</w:t>
      </w:r>
      <w:r w:rsidRPr="008656E1">
        <w:rPr>
          <w:rFonts w:ascii="Times New Roman" w:eastAsia="Times New Roman" w:hAnsi="Times New Roman" w:cs="Times New Roman"/>
          <w:u w:val="single"/>
        </w:rPr>
        <w:t>,</w:t>
      </w:r>
      <w:r w:rsidRPr="008656E1">
        <w:rPr>
          <w:rFonts w:ascii="Times New Roman" w:eastAsia="Times New Roman" w:hAnsi="Times New Roman" w:cs="Times New Roman"/>
        </w:rPr>
        <w:t xml:space="preserve"> 660 F. Supp. 2d 653 (E.D. Va. 2007).</w:t>
      </w:r>
    </w:p>
  </w:footnote>
  <w:footnote w:id="40">
    <w:p w14:paraId="53933CCF" w14:textId="71C599E9" w:rsidR="006D5E48" w:rsidRPr="008656E1" w:rsidRDefault="006D5E48" w:rsidP="008656E1">
      <w:pPr>
        <w:rPr>
          <w:rFonts w:ascii="Times New Roman" w:eastAsia="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w:t>
      </w:r>
      <w:r w:rsidRPr="008656E1">
        <w:rPr>
          <w:rFonts w:ascii="Times New Roman" w:eastAsia="Times New Roman" w:hAnsi="Times New Roman" w:cs="Times New Roman"/>
          <w:i/>
        </w:rPr>
        <w:t>eBay Inc. v. MercExchange, L.L.C.,</w:t>
      </w:r>
      <w:r w:rsidRPr="008656E1">
        <w:rPr>
          <w:rFonts w:ascii="Times New Roman" w:eastAsia="Times New Roman" w:hAnsi="Times New Roman" w:cs="Times New Roman"/>
        </w:rPr>
        <w:t xml:space="preserve"> 547 U.S. 388, 393, 126 S. Ct. 1837, 1840, 164 L</w:t>
      </w:r>
      <w:r w:rsidR="008656E1" w:rsidRPr="008656E1">
        <w:rPr>
          <w:rFonts w:ascii="Times New Roman" w:eastAsia="Times New Roman" w:hAnsi="Times New Roman" w:cs="Times New Roman"/>
        </w:rPr>
        <w:t>. Ed. 2d 641 (2006)</w:t>
      </w:r>
    </w:p>
  </w:footnote>
  <w:footnote w:id="41">
    <w:p w14:paraId="073CDADD" w14:textId="72C51819" w:rsidR="006D5E48" w:rsidRPr="008656E1" w:rsidRDefault="006D5E48" w:rsidP="005C38CE">
      <w:pPr>
        <w:rPr>
          <w:rFonts w:ascii="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w:t>
      </w:r>
      <w:r w:rsidR="008656E1" w:rsidRPr="008656E1">
        <w:rPr>
          <w:rFonts w:ascii="Times New Roman" w:eastAsia="Times New Roman" w:hAnsi="Times New Roman" w:cs="Times New Roman"/>
        </w:rPr>
        <w:t>See Id.</w:t>
      </w:r>
    </w:p>
  </w:footnote>
  <w:footnote w:id="42">
    <w:p w14:paraId="2E10B491" w14:textId="66D0CF0C" w:rsidR="006D5E48" w:rsidRPr="008656E1" w:rsidRDefault="006D5E48">
      <w:pPr>
        <w:pStyle w:val="FootnoteText"/>
        <w:rPr>
          <w:rFonts w:ascii="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Id. at 394. </w:t>
      </w:r>
    </w:p>
  </w:footnote>
  <w:footnote w:id="43">
    <w:p w14:paraId="6FBA4828" w14:textId="0E3A64EE" w:rsidR="006D5E48" w:rsidRPr="008656E1" w:rsidRDefault="006D5E48">
      <w:pPr>
        <w:pStyle w:val="FootnoteText"/>
        <w:rPr>
          <w:rFonts w:ascii="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w:t>
      </w:r>
      <w:r w:rsidR="008656E1">
        <w:rPr>
          <w:rFonts w:ascii="Times New Roman" w:hAnsi="Times New Roman" w:cs="Times New Roman"/>
        </w:rPr>
        <w:t xml:space="preserve">See </w:t>
      </w:r>
      <w:r w:rsidRPr="008656E1">
        <w:rPr>
          <w:rFonts w:ascii="Times New Roman" w:hAnsi="Times New Roman" w:cs="Times New Roman"/>
        </w:rPr>
        <w:t>Id.</w:t>
      </w:r>
    </w:p>
  </w:footnote>
  <w:footnote w:id="44">
    <w:p w14:paraId="53908738" w14:textId="4C328D09" w:rsidR="006D5E48" w:rsidRPr="008656E1" w:rsidRDefault="006D5E48">
      <w:pPr>
        <w:pStyle w:val="FootnoteText"/>
        <w:rPr>
          <w:rFonts w:ascii="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As a side note, upon remand and after careful analysis using the four-factor test, the District court again issued an order to deny the injunction based on MercExchange’s history of attempting to license the patent. </w:t>
      </w:r>
      <w:r w:rsidRPr="008656E1">
        <w:rPr>
          <w:rFonts w:ascii="Times New Roman" w:hAnsi="Times New Roman" w:cs="Times New Roman"/>
          <w:color w:val="1C1C1C"/>
        </w:rPr>
        <w:t xml:space="preserve">Mylene Mangalindan, WSJ Dec 13 2007 B4, "EBay is Ordered to Pay $30 Million in Patent Rift." </w:t>
      </w:r>
      <w:r w:rsidRPr="008656E1">
        <w:rPr>
          <w:rFonts w:ascii="Times New Roman" w:hAnsi="Times New Roman" w:cs="Times New Roman"/>
        </w:rPr>
        <w:t xml:space="preserve">On February 28, 2008 eBay released a statement saying that the parties had reached a settlement. http://www.mercurynews.com/business/ci_8403733. </w:t>
      </w:r>
    </w:p>
  </w:footnote>
  <w:footnote w:id="45">
    <w:p w14:paraId="5C7A834B" w14:textId="07492230" w:rsidR="006D5E48" w:rsidRPr="008656E1" w:rsidRDefault="006D5E48">
      <w:pPr>
        <w:pStyle w:val="FootnoteText"/>
        <w:rPr>
          <w:rFonts w:ascii="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“Patent Trolls” https://www.eff.org/issues/resources-patent-troll-victims</w:t>
      </w:r>
    </w:p>
  </w:footnote>
  <w:footnote w:id="46">
    <w:p w14:paraId="45029B40" w14:textId="5DEC6B9F" w:rsidR="006D5E48" w:rsidRPr="008656E1" w:rsidRDefault="006D5E48" w:rsidP="003E4A63">
      <w:pPr>
        <w:widowControl w:val="0"/>
        <w:autoSpaceDE w:val="0"/>
        <w:autoSpaceDN w:val="0"/>
        <w:adjustRightInd w:val="0"/>
        <w:rPr>
          <w:rFonts w:ascii="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w:t>
      </w:r>
      <w:r w:rsidRPr="008656E1">
        <w:rPr>
          <w:rFonts w:ascii="Times New Roman" w:hAnsi="Times New Roman" w:cs="Times New Roman"/>
          <w:bCs/>
        </w:rPr>
        <w:t xml:space="preserve">Jerome Lemelson, Independent Inventor (1923-1997)”, Martha Davidson, </w:t>
      </w:r>
      <w:r w:rsidRPr="008656E1">
        <w:rPr>
          <w:rFonts w:ascii="Times New Roman" w:hAnsi="Times New Roman" w:cs="Times New Roman"/>
        </w:rPr>
        <w:t>http://invention.smithsonian.org/about/about_bio_jerome.aspx</w:t>
      </w:r>
    </w:p>
  </w:footnote>
  <w:footnote w:id="47">
    <w:p w14:paraId="4679C4FE" w14:textId="0EE682B9" w:rsidR="006D5E48" w:rsidRDefault="006D5E48">
      <w:pPr>
        <w:pStyle w:val="FootnoteText"/>
      </w:pPr>
      <w:r w:rsidRPr="008656E1">
        <w:rPr>
          <w:rStyle w:val="FootnoteReference"/>
          <w:rFonts w:ascii="Times New Roman" w:hAnsi="Times New Roman" w:cs="Times New Roman"/>
        </w:rPr>
        <w:footnoteRef/>
      </w:r>
      <w:r w:rsidRPr="008656E1">
        <w:rPr>
          <w:rFonts w:ascii="Times New Roman" w:hAnsi="Times New Roman" w:cs="Times New Roman"/>
        </w:rPr>
        <w:t xml:space="preserve"> See </w:t>
      </w:r>
      <w:r w:rsidR="008656E1">
        <w:rPr>
          <w:rFonts w:ascii="Times New Roman" w:hAnsi="Times New Roman" w:cs="Times New Roman"/>
        </w:rPr>
        <w:t>A</w:t>
      </w:r>
      <w:r w:rsidRPr="008656E1">
        <w:rPr>
          <w:rFonts w:ascii="Times New Roman" w:hAnsi="Times New Roman" w:cs="Times New Roman"/>
        </w:rPr>
        <w:t>ppendix A</w:t>
      </w:r>
    </w:p>
  </w:footnote>
  <w:footnote w:id="48">
    <w:p w14:paraId="34EDC06B" w14:textId="77777777" w:rsidR="006D5E48" w:rsidRPr="008656E1" w:rsidRDefault="006D5E48" w:rsidP="00EA6B4A">
      <w:pPr>
        <w:pStyle w:val="FootnoteText"/>
        <w:rPr>
          <w:rFonts w:ascii="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Data from Pat Stats (http://www.patstats.org/Injunction_rulings_post-eBay_to_5-26-2013.xls) through May 26, 2013. </w:t>
      </w:r>
    </w:p>
  </w:footnote>
  <w:footnote w:id="49">
    <w:p w14:paraId="37B6A259" w14:textId="3C31AA48" w:rsidR="006D5E48" w:rsidRPr="008656E1" w:rsidRDefault="006D5E48">
      <w:pPr>
        <w:pStyle w:val="FootnoteText"/>
        <w:rPr>
          <w:rFonts w:ascii="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 </w:t>
      </w:r>
      <w:r w:rsidRPr="008656E1">
        <w:rPr>
          <w:rFonts w:ascii="Times New Roman" w:hAnsi="Times New Roman" w:cs="Times New Roman"/>
          <w:bCs/>
        </w:rPr>
        <w:t>Happy 5th Anniversary: The Impact of eBay v. MercExchange”, Gene Quinn, http://www.ipwatchdog.com/2011/05/15/happy-5th-anniversary-ebay-v-mercexchange/id=16894/</w:t>
      </w:r>
      <w:r w:rsidR="008656E1">
        <w:rPr>
          <w:rFonts w:ascii="Times New Roman" w:hAnsi="Times New Roman" w:cs="Times New Roman"/>
          <w:bCs/>
        </w:rPr>
        <w:t>.</w:t>
      </w:r>
    </w:p>
  </w:footnote>
  <w:footnote w:id="50">
    <w:p w14:paraId="7945A2F8" w14:textId="56A68620" w:rsidR="006D5E48" w:rsidRPr="008656E1" w:rsidRDefault="006D5E48">
      <w:pPr>
        <w:pStyle w:val="FootnoteText"/>
        <w:rPr>
          <w:rFonts w:ascii="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See appendix A. </w:t>
      </w:r>
    </w:p>
  </w:footnote>
  <w:footnote w:id="51">
    <w:p w14:paraId="6B540F09" w14:textId="0C0B6282" w:rsidR="006D5E48" w:rsidRPr="008656E1" w:rsidRDefault="006D5E48">
      <w:pPr>
        <w:pStyle w:val="FootnoteText"/>
        <w:rPr>
          <w:rFonts w:ascii="Times New Roman" w:hAnsi="Times New Roman" w:cs="Times New Roman"/>
        </w:rPr>
      </w:pPr>
      <w:r w:rsidRPr="008656E1">
        <w:rPr>
          <w:rStyle w:val="FootnoteReference"/>
          <w:rFonts w:ascii="Times New Roman" w:hAnsi="Times New Roman" w:cs="Times New Roman"/>
        </w:rPr>
        <w:footnoteRef/>
      </w:r>
      <w:r w:rsidRPr="008656E1">
        <w:rPr>
          <w:rFonts w:ascii="Times New Roman" w:hAnsi="Times New Roman" w:cs="Times New Roman"/>
        </w:rPr>
        <w:t xml:space="preserve"> See appendix B. </w:t>
      </w:r>
    </w:p>
  </w:footnote>
  <w:footnote w:id="52">
    <w:p w14:paraId="0BD8D777" w14:textId="4497EA1F" w:rsidR="006D5E48" w:rsidRDefault="006D5E48">
      <w:pPr>
        <w:pStyle w:val="FootnoteText"/>
      </w:pPr>
      <w:r w:rsidRPr="008656E1">
        <w:rPr>
          <w:rStyle w:val="FootnoteReference"/>
          <w:rFonts w:ascii="Times New Roman" w:hAnsi="Times New Roman" w:cs="Times New Roman"/>
        </w:rPr>
        <w:footnoteRef/>
      </w:r>
      <w:r w:rsidRPr="008656E1">
        <w:rPr>
          <w:rFonts w:ascii="Times New Roman" w:hAnsi="Times New Roman" w:cs="Times New Roman"/>
        </w:rPr>
        <w:t xml:space="preserve"> See appendix C.</w: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B61"/>
    <w:multiLevelType w:val="hybridMultilevel"/>
    <w:tmpl w:val="6236165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1045D1"/>
    <w:multiLevelType w:val="hybridMultilevel"/>
    <w:tmpl w:val="58C0190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ABE5532"/>
    <w:multiLevelType w:val="hybridMultilevel"/>
    <w:tmpl w:val="46161CB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FD9603F"/>
    <w:multiLevelType w:val="hybridMultilevel"/>
    <w:tmpl w:val="11C63778"/>
    <w:lvl w:ilvl="0" w:tplc="04090013">
      <w:start w:val="1"/>
      <w:numFmt w:val="upperRoman"/>
      <w:lvlText w:val="%1."/>
      <w:lvlJc w:val="right"/>
      <w:pPr>
        <w:ind w:left="1260" w:hanging="18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B1471DB"/>
    <w:multiLevelType w:val="hybridMultilevel"/>
    <w:tmpl w:val="6B287F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4F"/>
    <w:rsid w:val="00004AFA"/>
    <w:rsid w:val="000105DF"/>
    <w:rsid w:val="00010643"/>
    <w:rsid w:val="00010981"/>
    <w:rsid w:val="0002271A"/>
    <w:rsid w:val="00023918"/>
    <w:rsid w:val="00035C72"/>
    <w:rsid w:val="00057A38"/>
    <w:rsid w:val="00064B68"/>
    <w:rsid w:val="00065125"/>
    <w:rsid w:val="0008182D"/>
    <w:rsid w:val="00087952"/>
    <w:rsid w:val="00091B2E"/>
    <w:rsid w:val="00095C19"/>
    <w:rsid w:val="000964C5"/>
    <w:rsid w:val="000A5544"/>
    <w:rsid w:val="000C4950"/>
    <w:rsid w:val="000D4434"/>
    <w:rsid w:val="001056FE"/>
    <w:rsid w:val="00111177"/>
    <w:rsid w:val="001268DE"/>
    <w:rsid w:val="001367AF"/>
    <w:rsid w:val="00143042"/>
    <w:rsid w:val="00147963"/>
    <w:rsid w:val="001620CF"/>
    <w:rsid w:val="00163697"/>
    <w:rsid w:val="00166A07"/>
    <w:rsid w:val="00167EB8"/>
    <w:rsid w:val="0017397E"/>
    <w:rsid w:val="001A1C51"/>
    <w:rsid w:val="001B623B"/>
    <w:rsid w:val="001B6B94"/>
    <w:rsid w:val="00210BCD"/>
    <w:rsid w:val="002112DD"/>
    <w:rsid w:val="00220D54"/>
    <w:rsid w:val="00224A9D"/>
    <w:rsid w:val="0022762A"/>
    <w:rsid w:val="00242B16"/>
    <w:rsid w:val="00244FA9"/>
    <w:rsid w:val="0025776C"/>
    <w:rsid w:val="002635E0"/>
    <w:rsid w:val="002950A4"/>
    <w:rsid w:val="00295959"/>
    <w:rsid w:val="002A4B4F"/>
    <w:rsid w:val="002C5EE5"/>
    <w:rsid w:val="002F7733"/>
    <w:rsid w:val="00353291"/>
    <w:rsid w:val="00376590"/>
    <w:rsid w:val="00381383"/>
    <w:rsid w:val="003A1D6F"/>
    <w:rsid w:val="003A225B"/>
    <w:rsid w:val="003A4124"/>
    <w:rsid w:val="003B3AED"/>
    <w:rsid w:val="003C5242"/>
    <w:rsid w:val="003C7B77"/>
    <w:rsid w:val="003D5C66"/>
    <w:rsid w:val="003E0DF1"/>
    <w:rsid w:val="003E4A63"/>
    <w:rsid w:val="003E5B9C"/>
    <w:rsid w:val="003E7EAF"/>
    <w:rsid w:val="00426430"/>
    <w:rsid w:val="004267F0"/>
    <w:rsid w:val="0043172A"/>
    <w:rsid w:val="00432220"/>
    <w:rsid w:val="004348A2"/>
    <w:rsid w:val="00452296"/>
    <w:rsid w:val="004739E9"/>
    <w:rsid w:val="00476527"/>
    <w:rsid w:val="004864E1"/>
    <w:rsid w:val="00495B23"/>
    <w:rsid w:val="004A0191"/>
    <w:rsid w:val="004A091E"/>
    <w:rsid w:val="004A22AB"/>
    <w:rsid w:val="004B6FB9"/>
    <w:rsid w:val="004C7E33"/>
    <w:rsid w:val="004F09EB"/>
    <w:rsid w:val="004F5D2D"/>
    <w:rsid w:val="0050486E"/>
    <w:rsid w:val="0051409C"/>
    <w:rsid w:val="00516865"/>
    <w:rsid w:val="00533E04"/>
    <w:rsid w:val="005613B1"/>
    <w:rsid w:val="005857A2"/>
    <w:rsid w:val="005912A6"/>
    <w:rsid w:val="005B4A2C"/>
    <w:rsid w:val="005C1967"/>
    <w:rsid w:val="005C27C5"/>
    <w:rsid w:val="005C2894"/>
    <w:rsid w:val="005C3372"/>
    <w:rsid w:val="005C38CE"/>
    <w:rsid w:val="005D2E10"/>
    <w:rsid w:val="005D30A8"/>
    <w:rsid w:val="005D3E48"/>
    <w:rsid w:val="005E56FB"/>
    <w:rsid w:val="005E6CF6"/>
    <w:rsid w:val="005F7919"/>
    <w:rsid w:val="00605709"/>
    <w:rsid w:val="00635CB1"/>
    <w:rsid w:val="0063618A"/>
    <w:rsid w:val="00646318"/>
    <w:rsid w:val="0065279F"/>
    <w:rsid w:val="006560A0"/>
    <w:rsid w:val="006709DD"/>
    <w:rsid w:val="00672635"/>
    <w:rsid w:val="00675BDB"/>
    <w:rsid w:val="00676862"/>
    <w:rsid w:val="00684905"/>
    <w:rsid w:val="006A7B8C"/>
    <w:rsid w:val="006C5FA1"/>
    <w:rsid w:val="006D5E48"/>
    <w:rsid w:val="006D635D"/>
    <w:rsid w:val="006E653B"/>
    <w:rsid w:val="006F1AD1"/>
    <w:rsid w:val="00707966"/>
    <w:rsid w:val="007168BA"/>
    <w:rsid w:val="00720B9E"/>
    <w:rsid w:val="0072550E"/>
    <w:rsid w:val="007279FA"/>
    <w:rsid w:val="00727D3B"/>
    <w:rsid w:val="00732FC4"/>
    <w:rsid w:val="007357F4"/>
    <w:rsid w:val="0074275C"/>
    <w:rsid w:val="00745BF0"/>
    <w:rsid w:val="0075508B"/>
    <w:rsid w:val="0076009D"/>
    <w:rsid w:val="007815C3"/>
    <w:rsid w:val="007A2D5C"/>
    <w:rsid w:val="007A4241"/>
    <w:rsid w:val="007A76E9"/>
    <w:rsid w:val="007E2557"/>
    <w:rsid w:val="007F1E6C"/>
    <w:rsid w:val="007F7644"/>
    <w:rsid w:val="007F798B"/>
    <w:rsid w:val="008003D5"/>
    <w:rsid w:val="00802D82"/>
    <w:rsid w:val="00806F9B"/>
    <w:rsid w:val="0081184B"/>
    <w:rsid w:val="008131DE"/>
    <w:rsid w:val="00821CD7"/>
    <w:rsid w:val="00844B59"/>
    <w:rsid w:val="008577D6"/>
    <w:rsid w:val="00864CA9"/>
    <w:rsid w:val="008656E1"/>
    <w:rsid w:val="00871528"/>
    <w:rsid w:val="0087284F"/>
    <w:rsid w:val="00872B97"/>
    <w:rsid w:val="0087339B"/>
    <w:rsid w:val="00877E2C"/>
    <w:rsid w:val="008829C1"/>
    <w:rsid w:val="00893687"/>
    <w:rsid w:val="00895BBA"/>
    <w:rsid w:val="008A091E"/>
    <w:rsid w:val="008B109D"/>
    <w:rsid w:val="008B726F"/>
    <w:rsid w:val="008C2B8A"/>
    <w:rsid w:val="008C6982"/>
    <w:rsid w:val="008D24A9"/>
    <w:rsid w:val="008E3911"/>
    <w:rsid w:val="008F0F3E"/>
    <w:rsid w:val="008F5B4F"/>
    <w:rsid w:val="008F722B"/>
    <w:rsid w:val="0091113D"/>
    <w:rsid w:val="009154A6"/>
    <w:rsid w:val="00937FBD"/>
    <w:rsid w:val="00951D7D"/>
    <w:rsid w:val="009625C5"/>
    <w:rsid w:val="00975D5E"/>
    <w:rsid w:val="00987DE0"/>
    <w:rsid w:val="00997F0C"/>
    <w:rsid w:val="009A49F7"/>
    <w:rsid w:val="009A727A"/>
    <w:rsid w:val="009C2A95"/>
    <w:rsid w:val="009C3074"/>
    <w:rsid w:val="009D3D22"/>
    <w:rsid w:val="009E257A"/>
    <w:rsid w:val="00A053C9"/>
    <w:rsid w:val="00A07E7C"/>
    <w:rsid w:val="00A15A6F"/>
    <w:rsid w:val="00A17F64"/>
    <w:rsid w:val="00A22E90"/>
    <w:rsid w:val="00A32150"/>
    <w:rsid w:val="00A3605A"/>
    <w:rsid w:val="00A412AE"/>
    <w:rsid w:val="00A41CA1"/>
    <w:rsid w:val="00A46FAD"/>
    <w:rsid w:val="00A55634"/>
    <w:rsid w:val="00A62167"/>
    <w:rsid w:val="00A63DBE"/>
    <w:rsid w:val="00A64799"/>
    <w:rsid w:val="00A64B1D"/>
    <w:rsid w:val="00A70AC5"/>
    <w:rsid w:val="00A86BB2"/>
    <w:rsid w:val="00A96E91"/>
    <w:rsid w:val="00AB7334"/>
    <w:rsid w:val="00AC1E69"/>
    <w:rsid w:val="00AD5085"/>
    <w:rsid w:val="00AE0E46"/>
    <w:rsid w:val="00B10CAB"/>
    <w:rsid w:val="00B22127"/>
    <w:rsid w:val="00B72FC2"/>
    <w:rsid w:val="00B839B7"/>
    <w:rsid w:val="00BB134E"/>
    <w:rsid w:val="00BB68B2"/>
    <w:rsid w:val="00BC070F"/>
    <w:rsid w:val="00BC2440"/>
    <w:rsid w:val="00BC7AD8"/>
    <w:rsid w:val="00BD3825"/>
    <w:rsid w:val="00BD4EA0"/>
    <w:rsid w:val="00C00927"/>
    <w:rsid w:val="00C1081D"/>
    <w:rsid w:val="00C15CA3"/>
    <w:rsid w:val="00C426FA"/>
    <w:rsid w:val="00C4360A"/>
    <w:rsid w:val="00C55933"/>
    <w:rsid w:val="00C5694D"/>
    <w:rsid w:val="00C629A6"/>
    <w:rsid w:val="00C65E6C"/>
    <w:rsid w:val="00C74C5B"/>
    <w:rsid w:val="00C92256"/>
    <w:rsid w:val="00C947EE"/>
    <w:rsid w:val="00C9588F"/>
    <w:rsid w:val="00C96694"/>
    <w:rsid w:val="00CB115D"/>
    <w:rsid w:val="00CB6E47"/>
    <w:rsid w:val="00CC493F"/>
    <w:rsid w:val="00CD50F2"/>
    <w:rsid w:val="00CD602A"/>
    <w:rsid w:val="00CE23E2"/>
    <w:rsid w:val="00CE77EB"/>
    <w:rsid w:val="00CF524B"/>
    <w:rsid w:val="00D06AF0"/>
    <w:rsid w:val="00D100C3"/>
    <w:rsid w:val="00D14E90"/>
    <w:rsid w:val="00D161EC"/>
    <w:rsid w:val="00D51FEE"/>
    <w:rsid w:val="00D622F9"/>
    <w:rsid w:val="00D66091"/>
    <w:rsid w:val="00D72A53"/>
    <w:rsid w:val="00DB4B57"/>
    <w:rsid w:val="00DD32E5"/>
    <w:rsid w:val="00DD740A"/>
    <w:rsid w:val="00E04B3A"/>
    <w:rsid w:val="00E27696"/>
    <w:rsid w:val="00E43BB7"/>
    <w:rsid w:val="00E556CE"/>
    <w:rsid w:val="00E724EB"/>
    <w:rsid w:val="00E93EDF"/>
    <w:rsid w:val="00E95E5C"/>
    <w:rsid w:val="00E97AE2"/>
    <w:rsid w:val="00EA1276"/>
    <w:rsid w:val="00EA1A94"/>
    <w:rsid w:val="00EA6205"/>
    <w:rsid w:val="00EA6B4A"/>
    <w:rsid w:val="00EB08BC"/>
    <w:rsid w:val="00EB28B5"/>
    <w:rsid w:val="00EC4FB9"/>
    <w:rsid w:val="00ED007D"/>
    <w:rsid w:val="00EF39C6"/>
    <w:rsid w:val="00F06B4D"/>
    <w:rsid w:val="00F12822"/>
    <w:rsid w:val="00F12FDE"/>
    <w:rsid w:val="00F130AE"/>
    <w:rsid w:val="00F1674B"/>
    <w:rsid w:val="00F5082A"/>
    <w:rsid w:val="00F50CFC"/>
    <w:rsid w:val="00F57E07"/>
    <w:rsid w:val="00F6597B"/>
    <w:rsid w:val="00F66851"/>
    <w:rsid w:val="00F76F0B"/>
    <w:rsid w:val="00F84CE6"/>
    <w:rsid w:val="00FB3890"/>
    <w:rsid w:val="00FE4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36F4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22E90"/>
  </w:style>
  <w:style w:type="character" w:customStyle="1" w:styleId="FootnoteTextChar">
    <w:name w:val="Footnote Text Char"/>
    <w:basedOn w:val="DefaultParagraphFont"/>
    <w:link w:val="FootnoteText"/>
    <w:uiPriority w:val="99"/>
    <w:rsid w:val="00A22E90"/>
  </w:style>
  <w:style w:type="character" w:styleId="FootnoteReference">
    <w:name w:val="footnote reference"/>
    <w:basedOn w:val="DefaultParagraphFont"/>
    <w:uiPriority w:val="99"/>
    <w:unhideWhenUsed/>
    <w:rsid w:val="00A22E90"/>
    <w:rPr>
      <w:vertAlign w:val="superscript"/>
    </w:rPr>
  </w:style>
  <w:style w:type="paragraph" w:styleId="ListParagraph">
    <w:name w:val="List Paragraph"/>
    <w:basedOn w:val="Normal"/>
    <w:uiPriority w:val="34"/>
    <w:qFormat/>
    <w:rsid w:val="0043172A"/>
    <w:pPr>
      <w:ind w:left="720"/>
      <w:contextualSpacing/>
    </w:pPr>
  </w:style>
  <w:style w:type="character" w:styleId="Hyperlink">
    <w:name w:val="Hyperlink"/>
    <w:basedOn w:val="DefaultParagraphFont"/>
    <w:uiPriority w:val="99"/>
    <w:unhideWhenUsed/>
    <w:rsid w:val="00F84CE6"/>
    <w:rPr>
      <w:color w:val="0000FF" w:themeColor="hyperlink"/>
      <w:u w:val="single"/>
    </w:rPr>
  </w:style>
  <w:style w:type="paragraph" w:styleId="Footer">
    <w:name w:val="footer"/>
    <w:basedOn w:val="Normal"/>
    <w:link w:val="FooterChar"/>
    <w:uiPriority w:val="99"/>
    <w:unhideWhenUsed/>
    <w:rsid w:val="00452296"/>
    <w:pPr>
      <w:tabs>
        <w:tab w:val="center" w:pos="4320"/>
        <w:tab w:val="right" w:pos="8640"/>
      </w:tabs>
    </w:pPr>
  </w:style>
  <w:style w:type="character" w:customStyle="1" w:styleId="FooterChar">
    <w:name w:val="Footer Char"/>
    <w:basedOn w:val="DefaultParagraphFont"/>
    <w:link w:val="Footer"/>
    <w:uiPriority w:val="99"/>
    <w:rsid w:val="00452296"/>
  </w:style>
  <w:style w:type="character" w:styleId="PageNumber">
    <w:name w:val="page number"/>
    <w:basedOn w:val="DefaultParagraphFont"/>
    <w:uiPriority w:val="99"/>
    <w:semiHidden/>
    <w:unhideWhenUsed/>
    <w:rsid w:val="00452296"/>
  </w:style>
  <w:style w:type="paragraph" w:styleId="Header">
    <w:name w:val="header"/>
    <w:basedOn w:val="Normal"/>
    <w:link w:val="HeaderChar"/>
    <w:uiPriority w:val="99"/>
    <w:unhideWhenUsed/>
    <w:rsid w:val="00452296"/>
    <w:pPr>
      <w:tabs>
        <w:tab w:val="center" w:pos="4320"/>
        <w:tab w:val="right" w:pos="8640"/>
      </w:tabs>
    </w:pPr>
  </w:style>
  <w:style w:type="character" w:customStyle="1" w:styleId="HeaderChar">
    <w:name w:val="Header Char"/>
    <w:basedOn w:val="DefaultParagraphFont"/>
    <w:link w:val="Header"/>
    <w:uiPriority w:val="99"/>
    <w:rsid w:val="00452296"/>
  </w:style>
  <w:style w:type="character" w:styleId="Emphasis">
    <w:name w:val="Emphasis"/>
    <w:basedOn w:val="DefaultParagraphFont"/>
    <w:uiPriority w:val="20"/>
    <w:qFormat/>
    <w:rsid w:val="00EA1A94"/>
    <w:rPr>
      <w:i/>
      <w:iCs/>
    </w:rPr>
  </w:style>
  <w:style w:type="character" w:customStyle="1" w:styleId="costarpage">
    <w:name w:val="co_starpage"/>
    <w:basedOn w:val="DefaultParagraphFont"/>
    <w:rsid w:val="00EA1A94"/>
  </w:style>
  <w:style w:type="paragraph" w:styleId="BalloonText">
    <w:name w:val="Balloon Text"/>
    <w:basedOn w:val="Normal"/>
    <w:link w:val="BalloonTextChar"/>
    <w:uiPriority w:val="99"/>
    <w:semiHidden/>
    <w:unhideWhenUsed/>
    <w:rsid w:val="00242B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2B1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22E90"/>
  </w:style>
  <w:style w:type="character" w:customStyle="1" w:styleId="FootnoteTextChar">
    <w:name w:val="Footnote Text Char"/>
    <w:basedOn w:val="DefaultParagraphFont"/>
    <w:link w:val="FootnoteText"/>
    <w:uiPriority w:val="99"/>
    <w:rsid w:val="00A22E90"/>
  </w:style>
  <w:style w:type="character" w:styleId="FootnoteReference">
    <w:name w:val="footnote reference"/>
    <w:basedOn w:val="DefaultParagraphFont"/>
    <w:uiPriority w:val="99"/>
    <w:unhideWhenUsed/>
    <w:rsid w:val="00A22E90"/>
    <w:rPr>
      <w:vertAlign w:val="superscript"/>
    </w:rPr>
  </w:style>
  <w:style w:type="paragraph" w:styleId="ListParagraph">
    <w:name w:val="List Paragraph"/>
    <w:basedOn w:val="Normal"/>
    <w:uiPriority w:val="34"/>
    <w:qFormat/>
    <w:rsid w:val="0043172A"/>
    <w:pPr>
      <w:ind w:left="720"/>
      <w:contextualSpacing/>
    </w:pPr>
  </w:style>
  <w:style w:type="character" w:styleId="Hyperlink">
    <w:name w:val="Hyperlink"/>
    <w:basedOn w:val="DefaultParagraphFont"/>
    <w:uiPriority w:val="99"/>
    <w:unhideWhenUsed/>
    <w:rsid w:val="00F84CE6"/>
    <w:rPr>
      <w:color w:val="0000FF" w:themeColor="hyperlink"/>
      <w:u w:val="single"/>
    </w:rPr>
  </w:style>
  <w:style w:type="paragraph" w:styleId="Footer">
    <w:name w:val="footer"/>
    <w:basedOn w:val="Normal"/>
    <w:link w:val="FooterChar"/>
    <w:uiPriority w:val="99"/>
    <w:unhideWhenUsed/>
    <w:rsid w:val="00452296"/>
    <w:pPr>
      <w:tabs>
        <w:tab w:val="center" w:pos="4320"/>
        <w:tab w:val="right" w:pos="8640"/>
      </w:tabs>
    </w:pPr>
  </w:style>
  <w:style w:type="character" w:customStyle="1" w:styleId="FooterChar">
    <w:name w:val="Footer Char"/>
    <w:basedOn w:val="DefaultParagraphFont"/>
    <w:link w:val="Footer"/>
    <w:uiPriority w:val="99"/>
    <w:rsid w:val="00452296"/>
  </w:style>
  <w:style w:type="character" w:styleId="PageNumber">
    <w:name w:val="page number"/>
    <w:basedOn w:val="DefaultParagraphFont"/>
    <w:uiPriority w:val="99"/>
    <w:semiHidden/>
    <w:unhideWhenUsed/>
    <w:rsid w:val="00452296"/>
  </w:style>
  <w:style w:type="paragraph" w:styleId="Header">
    <w:name w:val="header"/>
    <w:basedOn w:val="Normal"/>
    <w:link w:val="HeaderChar"/>
    <w:uiPriority w:val="99"/>
    <w:unhideWhenUsed/>
    <w:rsid w:val="00452296"/>
    <w:pPr>
      <w:tabs>
        <w:tab w:val="center" w:pos="4320"/>
        <w:tab w:val="right" w:pos="8640"/>
      </w:tabs>
    </w:pPr>
  </w:style>
  <w:style w:type="character" w:customStyle="1" w:styleId="HeaderChar">
    <w:name w:val="Header Char"/>
    <w:basedOn w:val="DefaultParagraphFont"/>
    <w:link w:val="Header"/>
    <w:uiPriority w:val="99"/>
    <w:rsid w:val="00452296"/>
  </w:style>
  <w:style w:type="character" w:styleId="Emphasis">
    <w:name w:val="Emphasis"/>
    <w:basedOn w:val="DefaultParagraphFont"/>
    <w:uiPriority w:val="20"/>
    <w:qFormat/>
    <w:rsid w:val="00EA1A94"/>
    <w:rPr>
      <w:i/>
      <w:iCs/>
    </w:rPr>
  </w:style>
  <w:style w:type="character" w:customStyle="1" w:styleId="costarpage">
    <w:name w:val="co_starpage"/>
    <w:basedOn w:val="DefaultParagraphFont"/>
    <w:rsid w:val="00EA1A94"/>
  </w:style>
  <w:style w:type="paragraph" w:styleId="BalloonText">
    <w:name w:val="Balloon Text"/>
    <w:basedOn w:val="Normal"/>
    <w:link w:val="BalloonTextChar"/>
    <w:uiPriority w:val="99"/>
    <w:semiHidden/>
    <w:unhideWhenUsed/>
    <w:rsid w:val="00242B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2B1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128">
      <w:bodyDiv w:val="1"/>
      <w:marLeft w:val="0"/>
      <w:marRight w:val="0"/>
      <w:marTop w:val="0"/>
      <w:marBottom w:val="0"/>
      <w:divBdr>
        <w:top w:val="none" w:sz="0" w:space="0" w:color="auto"/>
        <w:left w:val="none" w:sz="0" w:space="0" w:color="auto"/>
        <w:bottom w:val="none" w:sz="0" w:space="0" w:color="auto"/>
        <w:right w:val="none" w:sz="0" w:space="0" w:color="auto"/>
      </w:divBdr>
      <w:divsChild>
        <w:div w:id="1587111273">
          <w:marLeft w:val="0"/>
          <w:marRight w:val="0"/>
          <w:marTop w:val="0"/>
          <w:marBottom w:val="0"/>
          <w:divBdr>
            <w:top w:val="none" w:sz="0" w:space="0" w:color="auto"/>
            <w:left w:val="none" w:sz="0" w:space="0" w:color="auto"/>
            <w:bottom w:val="none" w:sz="0" w:space="0" w:color="auto"/>
            <w:right w:val="none" w:sz="0" w:space="0" w:color="auto"/>
          </w:divBdr>
          <w:divsChild>
            <w:div w:id="2073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072">
      <w:bodyDiv w:val="1"/>
      <w:marLeft w:val="0"/>
      <w:marRight w:val="0"/>
      <w:marTop w:val="0"/>
      <w:marBottom w:val="0"/>
      <w:divBdr>
        <w:top w:val="none" w:sz="0" w:space="0" w:color="auto"/>
        <w:left w:val="none" w:sz="0" w:space="0" w:color="auto"/>
        <w:bottom w:val="none" w:sz="0" w:space="0" w:color="auto"/>
        <w:right w:val="none" w:sz="0" w:space="0" w:color="auto"/>
      </w:divBdr>
      <w:divsChild>
        <w:div w:id="257099803">
          <w:marLeft w:val="0"/>
          <w:marRight w:val="0"/>
          <w:marTop w:val="0"/>
          <w:marBottom w:val="0"/>
          <w:divBdr>
            <w:top w:val="none" w:sz="0" w:space="0" w:color="auto"/>
            <w:left w:val="none" w:sz="0" w:space="0" w:color="auto"/>
            <w:bottom w:val="none" w:sz="0" w:space="0" w:color="auto"/>
            <w:right w:val="none" w:sz="0" w:space="0" w:color="auto"/>
          </w:divBdr>
          <w:divsChild>
            <w:div w:id="12329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2609">
      <w:bodyDiv w:val="1"/>
      <w:marLeft w:val="0"/>
      <w:marRight w:val="0"/>
      <w:marTop w:val="0"/>
      <w:marBottom w:val="0"/>
      <w:divBdr>
        <w:top w:val="none" w:sz="0" w:space="0" w:color="auto"/>
        <w:left w:val="none" w:sz="0" w:space="0" w:color="auto"/>
        <w:bottom w:val="none" w:sz="0" w:space="0" w:color="auto"/>
        <w:right w:val="none" w:sz="0" w:space="0" w:color="auto"/>
      </w:divBdr>
      <w:divsChild>
        <w:div w:id="307252203">
          <w:marLeft w:val="0"/>
          <w:marRight w:val="0"/>
          <w:marTop w:val="0"/>
          <w:marBottom w:val="0"/>
          <w:divBdr>
            <w:top w:val="none" w:sz="0" w:space="0" w:color="auto"/>
            <w:left w:val="none" w:sz="0" w:space="0" w:color="auto"/>
            <w:bottom w:val="none" w:sz="0" w:space="0" w:color="auto"/>
            <w:right w:val="none" w:sz="0" w:space="0" w:color="auto"/>
          </w:divBdr>
          <w:divsChild>
            <w:div w:id="14297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6005">
      <w:bodyDiv w:val="1"/>
      <w:marLeft w:val="0"/>
      <w:marRight w:val="0"/>
      <w:marTop w:val="0"/>
      <w:marBottom w:val="0"/>
      <w:divBdr>
        <w:top w:val="none" w:sz="0" w:space="0" w:color="auto"/>
        <w:left w:val="none" w:sz="0" w:space="0" w:color="auto"/>
        <w:bottom w:val="none" w:sz="0" w:space="0" w:color="auto"/>
        <w:right w:val="none" w:sz="0" w:space="0" w:color="auto"/>
      </w:divBdr>
      <w:divsChild>
        <w:div w:id="1289050842">
          <w:marLeft w:val="0"/>
          <w:marRight w:val="0"/>
          <w:marTop w:val="0"/>
          <w:marBottom w:val="0"/>
          <w:divBdr>
            <w:top w:val="none" w:sz="0" w:space="0" w:color="auto"/>
            <w:left w:val="none" w:sz="0" w:space="0" w:color="auto"/>
            <w:bottom w:val="none" w:sz="0" w:space="0" w:color="auto"/>
            <w:right w:val="none" w:sz="0" w:space="0" w:color="auto"/>
          </w:divBdr>
          <w:divsChild>
            <w:div w:id="7530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8016">
      <w:bodyDiv w:val="1"/>
      <w:marLeft w:val="0"/>
      <w:marRight w:val="0"/>
      <w:marTop w:val="0"/>
      <w:marBottom w:val="0"/>
      <w:divBdr>
        <w:top w:val="none" w:sz="0" w:space="0" w:color="auto"/>
        <w:left w:val="none" w:sz="0" w:space="0" w:color="auto"/>
        <w:bottom w:val="none" w:sz="0" w:space="0" w:color="auto"/>
        <w:right w:val="none" w:sz="0" w:space="0" w:color="auto"/>
      </w:divBdr>
      <w:divsChild>
        <w:div w:id="612324732">
          <w:marLeft w:val="0"/>
          <w:marRight w:val="0"/>
          <w:marTop w:val="0"/>
          <w:marBottom w:val="0"/>
          <w:divBdr>
            <w:top w:val="none" w:sz="0" w:space="0" w:color="auto"/>
            <w:left w:val="none" w:sz="0" w:space="0" w:color="auto"/>
            <w:bottom w:val="none" w:sz="0" w:space="0" w:color="auto"/>
            <w:right w:val="none" w:sz="0" w:space="0" w:color="auto"/>
          </w:divBdr>
          <w:divsChild>
            <w:div w:id="995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3778">
      <w:bodyDiv w:val="1"/>
      <w:marLeft w:val="0"/>
      <w:marRight w:val="0"/>
      <w:marTop w:val="0"/>
      <w:marBottom w:val="0"/>
      <w:divBdr>
        <w:top w:val="none" w:sz="0" w:space="0" w:color="auto"/>
        <w:left w:val="none" w:sz="0" w:space="0" w:color="auto"/>
        <w:bottom w:val="none" w:sz="0" w:space="0" w:color="auto"/>
        <w:right w:val="none" w:sz="0" w:space="0" w:color="auto"/>
      </w:divBdr>
      <w:divsChild>
        <w:div w:id="1047415780">
          <w:marLeft w:val="0"/>
          <w:marRight w:val="0"/>
          <w:marTop w:val="0"/>
          <w:marBottom w:val="0"/>
          <w:divBdr>
            <w:top w:val="none" w:sz="0" w:space="0" w:color="auto"/>
            <w:left w:val="none" w:sz="0" w:space="0" w:color="auto"/>
            <w:bottom w:val="none" w:sz="0" w:space="0" w:color="auto"/>
            <w:right w:val="none" w:sz="0" w:space="0" w:color="auto"/>
          </w:divBdr>
          <w:divsChild>
            <w:div w:id="5982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970">
      <w:bodyDiv w:val="1"/>
      <w:marLeft w:val="0"/>
      <w:marRight w:val="0"/>
      <w:marTop w:val="0"/>
      <w:marBottom w:val="0"/>
      <w:divBdr>
        <w:top w:val="none" w:sz="0" w:space="0" w:color="auto"/>
        <w:left w:val="none" w:sz="0" w:space="0" w:color="auto"/>
        <w:bottom w:val="none" w:sz="0" w:space="0" w:color="auto"/>
        <w:right w:val="none" w:sz="0" w:space="0" w:color="auto"/>
      </w:divBdr>
      <w:divsChild>
        <w:div w:id="324166894">
          <w:marLeft w:val="0"/>
          <w:marRight w:val="0"/>
          <w:marTop w:val="0"/>
          <w:marBottom w:val="0"/>
          <w:divBdr>
            <w:top w:val="none" w:sz="0" w:space="0" w:color="auto"/>
            <w:left w:val="none" w:sz="0" w:space="0" w:color="auto"/>
            <w:bottom w:val="none" w:sz="0" w:space="0" w:color="auto"/>
            <w:right w:val="none" w:sz="0" w:space="0" w:color="auto"/>
          </w:divBdr>
          <w:divsChild>
            <w:div w:id="2655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9123">
      <w:bodyDiv w:val="1"/>
      <w:marLeft w:val="0"/>
      <w:marRight w:val="0"/>
      <w:marTop w:val="0"/>
      <w:marBottom w:val="0"/>
      <w:divBdr>
        <w:top w:val="none" w:sz="0" w:space="0" w:color="auto"/>
        <w:left w:val="none" w:sz="0" w:space="0" w:color="auto"/>
        <w:bottom w:val="none" w:sz="0" w:space="0" w:color="auto"/>
        <w:right w:val="none" w:sz="0" w:space="0" w:color="auto"/>
      </w:divBdr>
      <w:divsChild>
        <w:div w:id="74404964">
          <w:marLeft w:val="0"/>
          <w:marRight w:val="0"/>
          <w:marTop w:val="0"/>
          <w:marBottom w:val="0"/>
          <w:divBdr>
            <w:top w:val="none" w:sz="0" w:space="0" w:color="auto"/>
            <w:left w:val="none" w:sz="0" w:space="0" w:color="auto"/>
            <w:bottom w:val="none" w:sz="0" w:space="0" w:color="auto"/>
            <w:right w:val="none" w:sz="0" w:space="0" w:color="auto"/>
          </w:divBdr>
          <w:divsChild>
            <w:div w:id="15001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5802">
      <w:bodyDiv w:val="1"/>
      <w:marLeft w:val="0"/>
      <w:marRight w:val="0"/>
      <w:marTop w:val="0"/>
      <w:marBottom w:val="0"/>
      <w:divBdr>
        <w:top w:val="none" w:sz="0" w:space="0" w:color="auto"/>
        <w:left w:val="none" w:sz="0" w:space="0" w:color="auto"/>
        <w:bottom w:val="none" w:sz="0" w:space="0" w:color="auto"/>
        <w:right w:val="none" w:sz="0" w:space="0" w:color="auto"/>
      </w:divBdr>
      <w:divsChild>
        <w:div w:id="1329406802">
          <w:marLeft w:val="0"/>
          <w:marRight w:val="0"/>
          <w:marTop w:val="0"/>
          <w:marBottom w:val="0"/>
          <w:divBdr>
            <w:top w:val="none" w:sz="0" w:space="0" w:color="auto"/>
            <w:left w:val="none" w:sz="0" w:space="0" w:color="auto"/>
            <w:bottom w:val="none" w:sz="0" w:space="0" w:color="auto"/>
            <w:right w:val="none" w:sz="0" w:space="0" w:color="auto"/>
          </w:divBdr>
          <w:divsChild>
            <w:div w:id="18974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3975">
      <w:bodyDiv w:val="1"/>
      <w:marLeft w:val="0"/>
      <w:marRight w:val="0"/>
      <w:marTop w:val="0"/>
      <w:marBottom w:val="0"/>
      <w:divBdr>
        <w:top w:val="none" w:sz="0" w:space="0" w:color="auto"/>
        <w:left w:val="none" w:sz="0" w:space="0" w:color="auto"/>
        <w:bottom w:val="none" w:sz="0" w:space="0" w:color="auto"/>
        <w:right w:val="none" w:sz="0" w:space="0" w:color="auto"/>
      </w:divBdr>
      <w:divsChild>
        <w:div w:id="1162819182">
          <w:marLeft w:val="0"/>
          <w:marRight w:val="0"/>
          <w:marTop w:val="0"/>
          <w:marBottom w:val="0"/>
          <w:divBdr>
            <w:top w:val="none" w:sz="0" w:space="0" w:color="auto"/>
            <w:left w:val="none" w:sz="0" w:space="0" w:color="auto"/>
            <w:bottom w:val="none" w:sz="0" w:space="0" w:color="auto"/>
            <w:right w:val="none" w:sz="0" w:space="0" w:color="auto"/>
          </w:divBdr>
          <w:divsChild>
            <w:div w:id="2102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139">
      <w:bodyDiv w:val="1"/>
      <w:marLeft w:val="0"/>
      <w:marRight w:val="0"/>
      <w:marTop w:val="0"/>
      <w:marBottom w:val="0"/>
      <w:divBdr>
        <w:top w:val="none" w:sz="0" w:space="0" w:color="auto"/>
        <w:left w:val="none" w:sz="0" w:space="0" w:color="auto"/>
        <w:bottom w:val="none" w:sz="0" w:space="0" w:color="auto"/>
        <w:right w:val="none" w:sz="0" w:space="0" w:color="auto"/>
      </w:divBdr>
      <w:divsChild>
        <w:div w:id="403182568">
          <w:marLeft w:val="0"/>
          <w:marRight w:val="0"/>
          <w:marTop w:val="0"/>
          <w:marBottom w:val="0"/>
          <w:divBdr>
            <w:top w:val="none" w:sz="0" w:space="0" w:color="auto"/>
            <w:left w:val="none" w:sz="0" w:space="0" w:color="auto"/>
            <w:bottom w:val="none" w:sz="0" w:space="0" w:color="auto"/>
            <w:right w:val="none" w:sz="0" w:space="0" w:color="auto"/>
          </w:divBdr>
          <w:divsChild>
            <w:div w:id="13268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8049">
      <w:bodyDiv w:val="1"/>
      <w:marLeft w:val="0"/>
      <w:marRight w:val="0"/>
      <w:marTop w:val="0"/>
      <w:marBottom w:val="0"/>
      <w:divBdr>
        <w:top w:val="none" w:sz="0" w:space="0" w:color="auto"/>
        <w:left w:val="none" w:sz="0" w:space="0" w:color="auto"/>
        <w:bottom w:val="none" w:sz="0" w:space="0" w:color="auto"/>
        <w:right w:val="none" w:sz="0" w:space="0" w:color="auto"/>
      </w:divBdr>
      <w:divsChild>
        <w:div w:id="1379278635">
          <w:marLeft w:val="0"/>
          <w:marRight w:val="0"/>
          <w:marTop w:val="0"/>
          <w:marBottom w:val="0"/>
          <w:divBdr>
            <w:top w:val="none" w:sz="0" w:space="0" w:color="auto"/>
            <w:left w:val="none" w:sz="0" w:space="0" w:color="auto"/>
            <w:bottom w:val="none" w:sz="0" w:space="0" w:color="auto"/>
            <w:right w:val="none" w:sz="0" w:space="0" w:color="auto"/>
          </w:divBdr>
          <w:divsChild>
            <w:div w:id="5976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5810">
      <w:bodyDiv w:val="1"/>
      <w:marLeft w:val="0"/>
      <w:marRight w:val="0"/>
      <w:marTop w:val="0"/>
      <w:marBottom w:val="0"/>
      <w:divBdr>
        <w:top w:val="none" w:sz="0" w:space="0" w:color="auto"/>
        <w:left w:val="none" w:sz="0" w:space="0" w:color="auto"/>
        <w:bottom w:val="none" w:sz="0" w:space="0" w:color="auto"/>
        <w:right w:val="none" w:sz="0" w:space="0" w:color="auto"/>
      </w:divBdr>
      <w:divsChild>
        <w:div w:id="1446536824">
          <w:marLeft w:val="0"/>
          <w:marRight w:val="0"/>
          <w:marTop w:val="0"/>
          <w:marBottom w:val="0"/>
          <w:divBdr>
            <w:top w:val="none" w:sz="0" w:space="0" w:color="auto"/>
            <w:left w:val="none" w:sz="0" w:space="0" w:color="auto"/>
            <w:bottom w:val="none" w:sz="0" w:space="0" w:color="auto"/>
            <w:right w:val="none" w:sz="0" w:space="0" w:color="auto"/>
          </w:divBdr>
          <w:divsChild>
            <w:div w:id="5215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4093">
      <w:bodyDiv w:val="1"/>
      <w:marLeft w:val="0"/>
      <w:marRight w:val="0"/>
      <w:marTop w:val="0"/>
      <w:marBottom w:val="0"/>
      <w:divBdr>
        <w:top w:val="none" w:sz="0" w:space="0" w:color="auto"/>
        <w:left w:val="none" w:sz="0" w:space="0" w:color="auto"/>
        <w:bottom w:val="none" w:sz="0" w:space="0" w:color="auto"/>
        <w:right w:val="none" w:sz="0" w:space="0" w:color="auto"/>
      </w:divBdr>
      <w:divsChild>
        <w:div w:id="1422414896">
          <w:marLeft w:val="0"/>
          <w:marRight w:val="0"/>
          <w:marTop w:val="0"/>
          <w:marBottom w:val="0"/>
          <w:divBdr>
            <w:top w:val="none" w:sz="0" w:space="0" w:color="auto"/>
            <w:left w:val="none" w:sz="0" w:space="0" w:color="auto"/>
            <w:bottom w:val="none" w:sz="0" w:space="0" w:color="auto"/>
            <w:right w:val="none" w:sz="0" w:space="0" w:color="auto"/>
          </w:divBdr>
          <w:divsChild>
            <w:div w:id="191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5734">
      <w:bodyDiv w:val="1"/>
      <w:marLeft w:val="0"/>
      <w:marRight w:val="0"/>
      <w:marTop w:val="0"/>
      <w:marBottom w:val="0"/>
      <w:divBdr>
        <w:top w:val="none" w:sz="0" w:space="0" w:color="auto"/>
        <w:left w:val="none" w:sz="0" w:space="0" w:color="auto"/>
        <w:bottom w:val="none" w:sz="0" w:space="0" w:color="auto"/>
        <w:right w:val="none" w:sz="0" w:space="0" w:color="auto"/>
      </w:divBdr>
      <w:divsChild>
        <w:div w:id="1965454900">
          <w:marLeft w:val="0"/>
          <w:marRight w:val="0"/>
          <w:marTop w:val="0"/>
          <w:marBottom w:val="0"/>
          <w:divBdr>
            <w:top w:val="none" w:sz="0" w:space="0" w:color="auto"/>
            <w:left w:val="none" w:sz="0" w:space="0" w:color="auto"/>
            <w:bottom w:val="none" w:sz="0" w:space="0" w:color="auto"/>
            <w:right w:val="none" w:sz="0" w:space="0" w:color="auto"/>
          </w:divBdr>
          <w:divsChild>
            <w:div w:id="21235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3504">
      <w:bodyDiv w:val="1"/>
      <w:marLeft w:val="0"/>
      <w:marRight w:val="0"/>
      <w:marTop w:val="0"/>
      <w:marBottom w:val="0"/>
      <w:divBdr>
        <w:top w:val="none" w:sz="0" w:space="0" w:color="auto"/>
        <w:left w:val="none" w:sz="0" w:space="0" w:color="auto"/>
        <w:bottom w:val="none" w:sz="0" w:space="0" w:color="auto"/>
        <w:right w:val="none" w:sz="0" w:space="0" w:color="auto"/>
      </w:divBdr>
      <w:divsChild>
        <w:div w:id="285625371">
          <w:marLeft w:val="0"/>
          <w:marRight w:val="0"/>
          <w:marTop w:val="0"/>
          <w:marBottom w:val="0"/>
          <w:divBdr>
            <w:top w:val="none" w:sz="0" w:space="0" w:color="auto"/>
            <w:left w:val="none" w:sz="0" w:space="0" w:color="auto"/>
            <w:bottom w:val="none" w:sz="0" w:space="0" w:color="auto"/>
            <w:right w:val="none" w:sz="0" w:space="0" w:color="auto"/>
          </w:divBdr>
          <w:divsChild>
            <w:div w:id="13962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3801">
      <w:bodyDiv w:val="1"/>
      <w:marLeft w:val="0"/>
      <w:marRight w:val="0"/>
      <w:marTop w:val="0"/>
      <w:marBottom w:val="0"/>
      <w:divBdr>
        <w:top w:val="none" w:sz="0" w:space="0" w:color="auto"/>
        <w:left w:val="none" w:sz="0" w:space="0" w:color="auto"/>
        <w:bottom w:val="none" w:sz="0" w:space="0" w:color="auto"/>
        <w:right w:val="none" w:sz="0" w:space="0" w:color="auto"/>
      </w:divBdr>
      <w:divsChild>
        <w:div w:id="1638680793">
          <w:marLeft w:val="0"/>
          <w:marRight w:val="0"/>
          <w:marTop w:val="0"/>
          <w:marBottom w:val="0"/>
          <w:divBdr>
            <w:top w:val="none" w:sz="0" w:space="0" w:color="auto"/>
            <w:left w:val="none" w:sz="0" w:space="0" w:color="auto"/>
            <w:bottom w:val="none" w:sz="0" w:space="0" w:color="auto"/>
            <w:right w:val="none" w:sz="0" w:space="0" w:color="auto"/>
          </w:divBdr>
          <w:divsChild>
            <w:div w:id="20779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87016">
      <w:bodyDiv w:val="1"/>
      <w:marLeft w:val="0"/>
      <w:marRight w:val="0"/>
      <w:marTop w:val="0"/>
      <w:marBottom w:val="0"/>
      <w:divBdr>
        <w:top w:val="none" w:sz="0" w:space="0" w:color="auto"/>
        <w:left w:val="none" w:sz="0" w:space="0" w:color="auto"/>
        <w:bottom w:val="none" w:sz="0" w:space="0" w:color="auto"/>
        <w:right w:val="none" w:sz="0" w:space="0" w:color="auto"/>
      </w:divBdr>
      <w:divsChild>
        <w:div w:id="1523129552">
          <w:marLeft w:val="0"/>
          <w:marRight w:val="0"/>
          <w:marTop w:val="0"/>
          <w:marBottom w:val="0"/>
          <w:divBdr>
            <w:top w:val="none" w:sz="0" w:space="0" w:color="auto"/>
            <w:left w:val="none" w:sz="0" w:space="0" w:color="auto"/>
            <w:bottom w:val="none" w:sz="0" w:space="0" w:color="auto"/>
            <w:right w:val="none" w:sz="0" w:space="0" w:color="auto"/>
          </w:divBdr>
          <w:divsChild>
            <w:div w:id="20331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77161">
      <w:bodyDiv w:val="1"/>
      <w:marLeft w:val="0"/>
      <w:marRight w:val="0"/>
      <w:marTop w:val="0"/>
      <w:marBottom w:val="0"/>
      <w:divBdr>
        <w:top w:val="none" w:sz="0" w:space="0" w:color="auto"/>
        <w:left w:val="none" w:sz="0" w:space="0" w:color="auto"/>
        <w:bottom w:val="none" w:sz="0" w:space="0" w:color="auto"/>
        <w:right w:val="none" w:sz="0" w:space="0" w:color="auto"/>
      </w:divBdr>
      <w:divsChild>
        <w:div w:id="1352609358">
          <w:marLeft w:val="0"/>
          <w:marRight w:val="0"/>
          <w:marTop w:val="0"/>
          <w:marBottom w:val="0"/>
          <w:divBdr>
            <w:top w:val="none" w:sz="0" w:space="0" w:color="auto"/>
            <w:left w:val="none" w:sz="0" w:space="0" w:color="auto"/>
            <w:bottom w:val="none" w:sz="0" w:space="0" w:color="auto"/>
            <w:right w:val="none" w:sz="0" w:space="0" w:color="auto"/>
          </w:divBdr>
          <w:divsChild>
            <w:div w:id="16744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6946">
      <w:bodyDiv w:val="1"/>
      <w:marLeft w:val="0"/>
      <w:marRight w:val="0"/>
      <w:marTop w:val="0"/>
      <w:marBottom w:val="0"/>
      <w:divBdr>
        <w:top w:val="none" w:sz="0" w:space="0" w:color="auto"/>
        <w:left w:val="none" w:sz="0" w:space="0" w:color="auto"/>
        <w:bottom w:val="none" w:sz="0" w:space="0" w:color="auto"/>
        <w:right w:val="none" w:sz="0" w:space="0" w:color="auto"/>
      </w:divBdr>
      <w:divsChild>
        <w:div w:id="233705673">
          <w:marLeft w:val="0"/>
          <w:marRight w:val="0"/>
          <w:marTop w:val="0"/>
          <w:marBottom w:val="0"/>
          <w:divBdr>
            <w:top w:val="none" w:sz="0" w:space="0" w:color="auto"/>
            <w:left w:val="none" w:sz="0" w:space="0" w:color="auto"/>
            <w:bottom w:val="none" w:sz="0" w:space="0" w:color="auto"/>
            <w:right w:val="none" w:sz="0" w:space="0" w:color="auto"/>
          </w:divBdr>
          <w:divsChild>
            <w:div w:id="20579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3739">
      <w:bodyDiv w:val="1"/>
      <w:marLeft w:val="0"/>
      <w:marRight w:val="0"/>
      <w:marTop w:val="0"/>
      <w:marBottom w:val="0"/>
      <w:divBdr>
        <w:top w:val="none" w:sz="0" w:space="0" w:color="auto"/>
        <w:left w:val="none" w:sz="0" w:space="0" w:color="auto"/>
        <w:bottom w:val="none" w:sz="0" w:space="0" w:color="auto"/>
        <w:right w:val="none" w:sz="0" w:space="0" w:color="auto"/>
      </w:divBdr>
      <w:divsChild>
        <w:div w:id="972949641">
          <w:marLeft w:val="0"/>
          <w:marRight w:val="0"/>
          <w:marTop w:val="0"/>
          <w:marBottom w:val="0"/>
          <w:divBdr>
            <w:top w:val="none" w:sz="0" w:space="0" w:color="auto"/>
            <w:left w:val="none" w:sz="0" w:space="0" w:color="auto"/>
            <w:bottom w:val="none" w:sz="0" w:space="0" w:color="auto"/>
            <w:right w:val="none" w:sz="0" w:space="0" w:color="auto"/>
          </w:divBdr>
          <w:divsChild>
            <w:div w:id="769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gif"/><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66C15-194C-054B-8857-69BB7325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4018</Words>
  <Characters>22905</Characters>
  <Application>Microsoft Macintosh Word</Application>
  <DocSecurity>0</DocSecurity>
  <Lines>190</Lines>
  <Paragraphs>53</Paragraphs>
  <ScaleCrop>false</ScaleCrop>
  <Company/>
  <LinksUpToDate>false</LinksUpToDate>
  <CharactersWithSpaces>26870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Jacobs</dc:creator>
  <cp:keywords/>
  <dc:description/>
  <cp:lastModifiedBy>Bill Jacobs</cp:lastModifiedBy>
  <cp:revision>20</cp:revision>
  <dcterms:created xsi:type="dcterms:W3CDTF">2014-10-29T15:55:00Z</dcterms:created>
  <dcterms:modified xsi:type="dcterms:W3CDTF">2014-10-29T16:26:00Z</dcterms:modified>
</cp:coreProperties>
</file>