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70D0B" w14:textId="77777777" w:rsidR="00EA0F4E" w:rsidRPr="00BB1078" w:rsidRDefault="00EA0F4E" w:rsidP="00EA0F4E">
      <w:pPr>
        <w:pStyle w:val="Heading1"/>
        <w:numPr>
          <w:ilvl w:val="0"/>
          <w:numId w:val="0"/>
        </w:numPr>
        <w:ind w:left="360"/>
      </w:pPr>
      <w:bookmarkStart w:id="0" w:name="_Toc469088788"/>
      <w:r>
        <w:t>T</w:t>
      </w:r>
      <w:r w:rsidRPr="00BB1078">
        <w:t>he Problem of Error</w:t>
      </w:r>
      <w:bookmarkEnd w:id="0"/>
    </w:p>
    <w:p w14:paraId="03799D63" w14:textId="77777777" w:rsidR="001666CA" w:rsidRDefault="001666CA" w:rsidP="001666CA">
      <w:r>
        <w:t xml:space="preserve">If nobody benefits by enforcing a legal rule, the rule will not be enforced. If someone benefits too much by convicting someone else of violating a legal rule, we may try too hard, spend more on law enforcement than the resulting improvement is worth. Getting the incentive to convict correct involves balancing the benefits of enforcing the law against the costs. One cost is the use of resources that could be used for other purposes. We could get almost perfect enforcement of speed limits if every road had a cop car every few miles, but it would take a lot of cops and cars. </w:t>
      </w:r>
    </w:p>
    <w:p w14:paraId="6B978C38" w14:textId="77777777" w:rsidR="001666CA" w:rsidRDefault="001666CA" w:rsidP="001666CA">
      <w:r>
        <w:t>A second cost of convicting more who are guilty is convicting more who are not. If we increase convictions by reducing the amount of evidence required to convict, we will acquit fewer guilty defendants but convict more innocent ones. If we increase convictions by increasing the reward to cops who arrest speeders, we have increased the incentive for cops to arrest drivers whom they falsely claim were speeding and for localities to contrive speed traps designed not to reduce accidents but to increase revenues</w:t>
      </w:r>
      <w:r w:rsidRPr="00BB1078">
        <w:t xml:space="preserve">. </w:t>
      </w:r>
    </w:p>
    <w:p w14:paraId="2FEB3575" w14:textId="77777777" w:rsidR="001666CA" w:rsidRPr="00083D36" w:rsidRDefault="001666CA" w:rsidP="001666CA">
      <w:pPr>
        <w:pStyle w:val="Quote"/>
        <w:rPr>
          <w:i/>
        </w:rPr>
      </w:pPr>
      <w:r>
        <w:t xml:space="preserve">While we waited outside, the fat man on the grey horse rode up and entered into loud talk with his brother magistrates. He said to one of them—for I took the trouble to note it down—‘It falls away from my lodge-gates, dead straight, three-quarters of a mile. I’d defy </w:t>
      </w:r>
      <w:proofErr w:type="spellStart"/>
      <w:r>
        <w:t>any one</w:t>
      </w:r>
      <w:proofErr w:type="spellEnd"/>
      <w:r>
        <w:t xml:space="preserve"> to resist it. We rooked seventy pounds out of ’</w:t>
      </w:r>
      <w:proofErr w:type="spellStart"/>
      <w:r>
        <w:t>em</w:t>
      </w:r>
      <w:proofErr w:type="spellEnd"/>
      <w:r>
        <w:t xml:space="preserve"> last month. No car can resist the temptation. You ought to have one your side the county, Mike. They simply can’t resist it.’ (Rudyard Kipling, “</w:t>
      </w:r>
      <w:r w:rsidRPr="00083D36">
        <w:t>The Village that Voted the Earth was Flat</w:t>
      </w:r>
      <w:r>
        <w:t>”</w:t>
      </w:r>
      <w:r w:rsidRPr="00083D36">
        <w:t>)</w:t>
      </w:r>
    </w:p>
    <w:p w14:paraId="6D6E9FBE" w14:textId="77777777" w:rsidR="001666CA" w:rsidRDefault="001666CA" w:rsidP="001666CA">
      <w:r>
        <w:t>A different example of the same problem was described in Chapter XXX[England]. In England in the mid eighteenth century, both Parliament and the Crown established rewards for conviction for offenses for which it was feared that private prosecution was inadequate.</w:t>
      </w:r>
      <w:r>
        <w:rPr>
          <w:rFonts w:ascii="Times" w:eastAsia="Times" w:hAnsi="Times" w:cs="Times"/>
          <w:vertAlign w:val="superscript"/>
        </w:rPr>
        <w:footnoteReference w:id="1"/>
      </w:r>
      <w:r>
        <w:t xml:space="preserve"> The result was a series of scandals in which someone was either entrapped into committing an offense or framed for an offense he did not commit. Eventually rewards for conviction were replaced by partial compensation for the expenses of a successful prosecution—not enough to make prosecution profitable, merely less costly.</w:t>
      </w:r>
      <w:r>
        <w:rPr>
          <w:rFonts w:ascii="Times" w:eastAsia="Times" w:hAnsi="Times" w:cs="Times"/>
          <w:vertAlign w:val="superscript"/>
        </w:rPr>
        <w:footnoteReference w:id="2"/>
      </w:r>
      <w:r>
        <w:t xml:space="preserve"> </w:t>
      </w:r>
    </w:p>
    <w:p w14:paraId="47F33ED9" w14:textId="77777777" w:rsidR="001666CA" w:rsidRDefault="001666CA" w:rsidP="001666CA">
      <w:pPr>
        <w:pStyle w:val="Heading2"/>
        <w:rPr>
          <w:rFonts w:cs="Times"/>
        </w:rPr>
      </w:pPr>
      <w:r>
        <w:t>Preventing False Verdicts</w:t>
      </w:r>
    </w:p>
    <w:p w14:paraId="59BEEA5D" w14:textId="77777777" w:rsidR="001666CA" w:rsidRDefault="001666CA" w:rsidP="001666CA">
      <w:r>
        <w:t>The direct approach to the problem of convicting the innocent is to design legal rules to prevent it. The rules of evidence and the requirement of proof beyond a reasonable doubt in Anglo-American criminal law are supposed to achieve that. It is not clear how well they succeed in a legal system such as that of the U.S. where the overwhelming majority of convictions are not by trial but by plea bargaining.</w:t>
      </w:r>
      <w:r>
        <w:rPr>
          <w:rStyle w:val="FootnoteReference"/>
        </w:rPr>
        <w:footnoteReference w:id="3"/>
      </w:r>
      <w:r>
        <w:t xml:space="preserve"> We have no good measure of what fraction of those convicted of crimes are innocent but attempts at indirect measures suggest that it is at least three to five percent, perhaps </w:t>
      </w:r>
      <w:r>
        <w:lastRenderedPageBreak/>
        <w:t>more.</w:t>
      </w:r>
      <w:r>
        <w:rPr>
          <w:rFonts w:ascii="Times" w:eastAsia="Times" w:hAnsi="Times" w:cs="Times"/>
          <w:vertAlign w:val="superscript"/>
        </w:rPr>
        <w:footnoteReference w:id="4"/>
      </w:r>
      <w:r>
        <w:t xml:space="preserve"> Those numbers are for very serious offenses. Given the logic of plea bargaining, the rates for less serious offenses might be considerably higher. </w:t>
      </w:r>
    </w:p>
    <w:p w14:paraId="0C31E255" w14:textId="77777777" w:rsidR="001666CA" w:rsidRDefault="001666CA" w:rsidP="001666CA">
      <w:r>
        <w:t>Even if we knew how to design rules that did a better job of separating innocent from guilty, it is unclear that it is in the interest of those who create the rules to do so. When someone is convicted of a crime he did not commit it is not the judge or the legislator who pays the penalty. And even with well-designed legal rules it may often be possible to find, out of the universe of all potential suspects, someone easier to convict than the actual offender. Hence even with well-designed rules increasing the incentive to convict can be expected to increase the number of false convictions.</w:t>
      </w:r>
    </w:p>
    <w:p w14:paraId="70C4839C" w14:textId="77777777" w:rsidR="001666CA" w:rsidRDefault="001666CA" w:rsidP="001666CA">
      <w:r>
        <w:t>The problem is the same whether the incentive is a reward for catching a criminal, not being punished for failing to catch</w:t>
      </w:r>
      <w:r>
        <w:rPr>
          <w:lang w:val="pt-PT"/>
        </w:rPr>
        <w:t xml:space="preserve"> a criminal,</w:t>
      </w:r>
      <w:r>
        <w:rPr>
          <w:rFonts w:ascii="Times" w:eastAsia="Times" w:hAnsi="Times" w:cs="Times"/>
          <w:vertAlign w:val="superscript"/>
        </w:rPr>
        <w:footnoteReference w:id="5"/>
      </w:r>
      <w:r>
        <w:t xml:space="preserve"> tort damages, career advancement for a police officer who gets his man or favorable publicity for a politically ambitious prosecutor. In modern American law the issue of too much incentive to convict shows up as concerns with civil forfeiture,</w:t>
      </w:r>
      <w:r>
        <w:rPr>
          <w:rFonts w:ascii="Times" w:eastAsia="Times" w:hAnsi="Times" w:cs="Times"/>
          <w:vertAlign w:val="superscript"/>
        </w:rPr>
        <w:footnoteReference w:id="6"/>
      </w:r>
      <w:r>
        <w:t xml:space="preserve"> class actions and punitive damages. In feud law, the corresponding problem is extortion disguised as rights enforcement.</w:t>
      </w:r>
    </w:p>
    <w:p w14:paraId="3DF9E25F" w14:textId="77777777" w:rsidR="001666CA" w:rsidRDefault="001666CA" w:rsidP="001666CA">
      <w:r>
        <w:t xml:space="preserve">Blackstone famously wrote </w:t>
      </w:r>
      <w:r>
        <w:rPr>
          <w:lang w:val="de-DE"/>
        </w:rPr>
        <w:t>“</w:t>
      </w:r>
      <w:r>
        <w:t>Better that ten guilty persons escape than that one innocent suffer.” Benjamin Franklin made it a hundred to one.</w:t>
      </w:r>
      <w:r>
        <w:rPr>
          <w:rFonts w:ascii="Times" w:eastAsia="Times" w:hAnsi="Times" w:cs="Times"/>
          <w:vertAlign w:val="superscript"/>
        </w:rPr>
        <w:footnoteReference w:id="7"/>
      </w:r>
      <w:r>
        <w:t xml:space="preserve"> Neither offered any basis for their number. </w:t>
      </w:r>
    </w:p>
    <w:p w14:paraId="366E232A" w14:textId="77777777" w:rsidR="001666CA" w:rsidRDefault="001666CA" w:rsidP="001666CA">
      <w:r>
        <w:t>If only we could have a legal system that would never convict an innocent defendant…</w:t>
      </w:r>
    </w:p>
    <w:p w14:paraId="3A47D521" w14:textId="77777777" w:rsidR="001666CA" w:rsidRDefault="001666CA" w:rsidP="001666CA">
      <w:pPr>
        <w:pStyle w:val="Heading3"/>
      </w:pPr>
      <w:r>
        <w:t>The Origin of the Law of Torture: A Cautionary Tale</w:t>
      </w:r>
    </w:p>
    <w:p w14:paraId="70C828C7" w14:textId="77777777" w:rsidR="001666CA" w:rsidRDefault="001666CA" w:rsidP="001666CA">
      <w:r>
        <w:t>People in the past worried about convicting the innocent too. In the early Middle Ages, they had a solution–let God judge. A defendant could be subjected to an ordeal such as plunging his hand into boiling water, carrying a red-hot iron bar, being dumped bound into water. Various passages in the Bible were interpreted to imply that God would reveal guilt (hand injured or body floated) or innocence (not injured, sank, pulled out). Since God was omniscient, it was an approach that guaranteed a correct verdict.</w:t>
      </w:r>
    </w:p>
    <w:p w14:paraId="49D159AC" w14:textId="77777777" w:rsidR="001666CA" w:rsidRDefault="001666CA" w:rsidP="001666CA">
      <w:r>
        <w:t>The use of ordeals was eventually abandoned on theological grounds. A more careful examination of the relevant biblical passages found little support for it and it could be seen as an attempt by humans to compel God to serve them. In 1215, the Fourth Lateran Council rejected the religious legitimacy of judicial ordeals and banned priests from participating in them. Over the next few decades most European countries abandoned their use.</w:t>
      </w:r>
      <w:r>
        <w:rPr>
          <w:rFonts w:ascii="Times" w:eastAsia="Times" w:hAnsi="Times" w:cs="Times"/>
          <w:vertAlign w:val="superscript"/>
        </w:rPr>
        <w:footnoteReference w:id="8"/>
      </w:r>
    </w:p>
    <w:p w14:paraId="7F69ED3A" w14:textId="77777777" w:rsidR="001666CA" w:rsidRDefault="001666CA" w:rsidP="001666CA">
      <w:r>
        <w:t xml:space="preserve">That left medieval judicial systems looking for another way of being certain a defendant was guilty before convicting him. The solution was a high standard of proof, evidence </w:t>
      </w:r>
      <w:r>
        <w:rPr>
          <w:lang w:val="de-DE"/>
        </w:rPr>
        <w:t>“</w:t>
      </w:r>
      <w:r>
        <w:t>clear as the noonday sun.” Conviction required either two unimpeachable eyewitnesses to the crime or a voluntary confession. Circumstantial evidence, however strong, was insufficient.</w:t>
      </w:r>
    </w:p>
    <w:p w14:paraId="1DBED0CB" w14:textId="77777777" w:rsidR="001666CA" w:rsidRDefault="001666CA" w:rsidP="001666CA">
      <w:pPr>
        <w:pStyle w:val="Quote"/>
      </w:pPr>
      <w:r>
        <w:t>In the history of Western culture no legal system has ever made a more valiant effort to perfect its safeguards and thereby to exclude completely the possibility of mistaken conviction.</w:t>
      </w:r>
      <w:r>
        <w:rPr>
          <w:rStyle w:val="FootnoteReference"/>
        </w:rPr>
        <w:footnoteReference w:id="9"/>
      </w:r>
      <w:r>
        <w:t xml:space="preserve"> But the Europeans learned in due course the inevitable lesson. They had set the level of safeguard too high. They had constructed a system of proof that could as a practical matter be effective only in cases involving overt crime or repentant criminals. Because society cannot long tolerate a legal system that lacks the capacity to convict unrepentant persons who commit clandestine crimes, something had to be done … .(Langbein 1978)</w:t>
      </w:r>
    </w:p>
    <w:p w14:paraId="3C5CC600" w14:textId="77777777" w:rsidR="001666CA" w:rsidRDefault="001666CA" w:rsidP="001666CA">
      <w:r>
        <w:t xml:space="preserve">The solution was the law of torture. Once the court had half-proof, one eyewitness or the equivalent in circumstantial evidence, the defendant could be tortured into confessing. A confession under torture was not voluntary, but that problem could be dealt with. Stop the torture and the next day ask the defendant if he is willing to confess. Since he is now not being tortured, the confession is voluntary. If he doesn’t confess, torture him again. </w:t>
      </w:r>
    </w:p>
    <w:p w14:paraId="4E24C810" w14:textId="77777777" w:rsidR="001666CA" w:rsidRDefault="001666CA" w:rsidP="001666CA">
      <w:r>
        <w:t xml:space="preserve">John Langbein, my source for this account, offers a parallel story in modern law. Two hundred years ago, jury trials were short: </w:t>
      </w:r>
    </w:p>
    <w:p w14:paraId="741BF463" w14:textId="77777777" w:rsidR="001666CA" w:rsidRDefault="001666CA" w:rsidP="001666CA">
      <w:pPr>
        <w:pStyle w:val="Quote"/>
      </w:pPr>
      <w:r>
        <w:t xml:space="preserve">In the Old Bailey in the 1730s we know that the court routinely processed between twelve and twenty jury trials for felony in a single day. A single jury would be impaneled and would hear evidence in numerous unrelated cases before retiring to formulate verdicts in all. Lawyers were not employed in the conduct of ordinary criminal trials, either for the prosecution or the defense. The trial judge called the witnesses (whom the local justice of the peace had bound over to appear), and the proceeding transpired as a relatively unstructured </w:t>
      </w:r>
      <w:r>
        <w:rPr>
          <w:lang w:val="de-DE"/>
        </w:rPr>
        <w:t>“</w:t>
      </w:r>
      <w:proofErr w:type="spellStart"/>
      <w:r>
        <w:rPr>
          <w:lang w:val="it-IT"/>
        </w:rPr>
        <w:t>altercation</w:t>
      </w:r>
      <w:proofErr w:type="spellEnd"/>
      <w:r>
        <w:t xml:space="preserve">” between the witnesses and the accused. In the 1790s, when the Americans were constitutionalizing English jury trial, it was still rapid and efficient. </w:t>
      </w:r>
      <w:r>
        <w:rPr>
          <w:lang w:val="de-DE"/>
        </w:rPr>
        <w:t>“</w:t>
      </w:r>
      <w:r>
        <w:t>The trial of Hardy for high treason in 1794 was the first that ever lasted more than one day, and the court seriously considered whether it had any power to adjourn… .”</w:t>
      </w:r>
    </w:p>
    <w:p w14:paraId="6F7B6D5A" w14:textId="77777777" w:rsidR="001666CA" w:rsidRDefault="001666CA" w:rsidP="001666CA">
      <w:r>
        <w:t>Over the years since, trials have become longer and much more complicated, at least in part in an attempt to reduce the risk of convicting the wrong person. Patricia Hearst’s 1976 trial for bank robbery lasted forty days. That was unusually long, but the average felony jury trial in Los Angeles in 1968 took 7.2 days, more than a hundred times the length of the average felony trial in the Old Bailey in the 1730’s. If every felony conviction in the U.S. took that long, felony trials alone would require the full-time efforts of more judges than currently exist in the state and federal systems and close to a million jurors, court attendants, and the like.</w:t>
      </w:r>
      <w:r>
        <w:rPr>
          <w:rFonts w:ascii="Times" w:eastAsia="Times" w:hAnsi="Times" w:cs="Times"/>
          <w:vertAlign w:val="superscript"/>
        </w:rPr>
        <w:footnoteReference w:id="10"/>
      </w:r>
      <w:r>
        <w:t xml:space="preserve"> Not impossible, but very expensive.</w:t>
      </w:r>
    </w:p>
    <w:p w14:paraId="6D1F0B68" w14:textId="77777777" w:rsidR="001666CA" w:rsidRDefault="001666CA" w:rsidP="001666CA">
      <w:r>
        <w:t xml:space="preserve">The American legal system found a cheaper alternative. Like its medieval predecessor, it substituted confession for trial. The medieval confession was motivated by the threat of torture. The modern version, a plea bargain, is motivated by the threat of a more severe sentence if the defendant insists on a trial and is convicted. Like the medieval version, it preserves the form–every felony defendant has the right to a jury trial, a lawyer, and all the paraphernalia of the modern law of criminal defense–while abandoning the substance. Conviction after a lengthy and careful jury trial is, arguably, evidence of guilt beyond a reasonable doubt. The willingness to accept a sentence of a year, possibly a year already served while awaiting trial, instead of the risk of ten years if convicted is not. </w:t>
      </w:r>
    </w:p>
    <w:p w14:paraId="5B057C68" w14:textId="77777777" w:rsidR="001666CA" w:rsidRDefault="001666CA" w:rsidP="001666CA">
      <w:r>
        <w:t>Similar problems have arisen in other legal systems. Under Jewish law as described by Maimonides, conviction for a capital offense required two witnesses to testify that, immediately before the offender committed the crime, both of them warned him that it was subject to capital punishment and he committed it anyway. And the witnesses must have seen the crime committed:</w:t>
      </w:r>
    </w:p>
    <w:p w14:paraId="7C8283B6" w14:textId="77777777" w:rsidR="001666CA" w:rsidRDefault="001666CA" w:rsidP="001666CA">
      <w:pPr>
        <w:pStyle w:val="Quote"/>
      </w:pPr>
      <w:r>
        <w:t>“Even if the witnesses saw him (the assailant) chasing the other, gave him warning, and then lost sight of him, or they followed him into a ruin and found the victim writhing (in death agony), while the sword dripping with blood was in the hands of the slayer, the court does not condemn the accused to death, since the witnesses did not see him at the time of the slaying.”</w:t>
      </w:r>
    </w:p>
    <w:p w14:paraId="3603C678" w14:textId="77777777" w:rsidR="001666CA" w:rsidRDefault="001666CA" w:rsidP="001666CA">
      <w:r>
        <w:t>That was the theory. The practice:</w:t>
      </w:r>
    </w:p>
    <w:p w14:paraId="49E1AC0E" w14:textId="77777777" w:rsidR="001666CA" w:rsidRDefault="001666CA" w:rsidP="001666CA">
      <w:pPr>
        <w:pStyle w:val="Quote"/>
      </w:pPr>
      <w:r>
        <w:t>“Every court … if it sees that crime is rampant among the people … can impose the death penalty, monetary fines, or other punishments, even if there is no absolute proof.”</w:t>
      </w:r>
      <w:r>
        <w:rPr>
          <w:rFonts w:ascii="Times" w:eastAsia="Times" w:hAnsi="Times" w:cs="Times"/>
          <w:vertAlign w:val="superscript"/>
        </w:rPr>
        <w:footnoteReference w:id="11"/>
      </w:r>
    </w:p>
    <w:p w14:paraId="71927358" w14:textId="77777777" w:rsidR="001666CA" w:rsidRDefault="001666CA" w:rsidP="001666CA">
      <w:r>
        <w:t xml:space="preserve">Under Islamic law, conviction for a </w:t>
      </w:r>
      <w:r>
        <w:rPr>
          <w:i/>
          <w:iCs/>
        </w:rPr>
        <w:t>Hadd</w:t>
      </w:r>
      <w:r>
        <w:t xml:space="preserve"> offense, one based in theory directly on the Koran, required two eye witnesses to the same act, both competent adult Muslim males of good reputation. In the case of </w:t>
      </w:r>
      <w:r w:rsidRPr="00422BF3">
        <w:rPr>
          <w:i/>
          <w:lang w:val="de-DE"/>
        </w:rPr>
        <w:t>Zina</w:t>
      </w:r>
      <w:r>
        <w:t xml:space="preserve">, unlawful intercourse, it required four witnesses to the same act of intercourse, not a condition likely to be met. </w:t>
      </w:r>
      <w:r w:rsidRPr="00450DD5">
        <w:rPr>
          <w:i/>
        </w:rPr>
        <w:t>Hadd</w:t>
      </w:r>
      <w:r>
        <w:t xml:space="preserve"> crimes could, however, be prosecuted as </w:t>
      </w:r>
      <w:r w:rsidRPr="00422BF3">
        <w:rPr>
          <w:i/>
        </w:rPr>
        <w:t>Ta’zir</w:t>
      </w:r>
      <w:r>
        <w:t xml:space="preserve"> offenses, with weaker standards of proof and, according to some but not all schools of law, weaker punishments. If even that was too difficult, there were the </w:t>
      </w:r>
      <w:r>
        <w:rPr>
          <w:i/>
          <w:iCs/>
        </w:rPr>
        <w:t>shurta</w:t>
      </w:r>
      <w:r>
        <w:t xml:space="preserve"> and </w:t>
      </w:r>
      <w:r>
        <w:rPr>
          <w:i/>
          <w:iCs/>
        </w:rPr>
        <w:t>mazalim</w:t>
      </w:r>
      <w:r>
        <w:t xml:space="preserve"> courts set up by the ruler and not bound by the rules of Koranic jurisprudence.</w:t>
      </w:r>
    </w:p>
    <w:p w14:paraId="1A5FE424" w14:textId="77777777" w:rsidR="001666CA" w:rsidRDefault="001666CA" w:rsidP="001666CA">
      <w:pPr>
        <w:pStyle w:val="Heading3"/>
      </w:pPr>
      <w:r>
        <w:t>Standards of Proof</w:t>
      </w:r>
    </w:p>
    <w:p w14:paraId="6BC00594" w14:textId="77777777" w:rsidR="001666CA" w:rsidRDefault="001666CA" w:rsidP="001666CA">
      <w:r>
        <w:t xml:space="preserve">In setting the standard of proof, a legal system is trading the benefit of convicting more guilty defendants against the cost of convicting more innocent defendants. Conviction of the innocent may be less important or deterrence more important for some offenses than for others. That would be a reason to use different standards of proof for different offenses. </w:t>
      </w:r>
    </w:p>
    <w:p w14:paraId="40A2EA10" w14:textId="77777777" w:rsidR="001666CA" w:rsidRDefault="001666CA" w:rsidP="001666CA">
      <w:r>
        <w:t>In Anglo-American common law, the standard of proof for a civil case is a preponderance of the evidence, commonly interpreted as a probability of guilt above fifty percent. The standard in a criminal case is proof beyond a reasonable doubt. Why the difference? It cannot be just a matter of higher standards when more is at stake, since the criminal standard applies to minor crimes as well as major, the civil standard to suits claiming tens of millions of dollars in damages as well as suits for small amounts.</w:t>
      </w:r>
    </w:p>
    <w:p w14:paraId="44FA45D9" w14:textId="77777777" w:rsidR="001666CA" w:rsidRDefault="001666CA" w:rsidP="001666CA">
      <w:r>
        <w:t xml:space="preserve">One possible answer is that a mistake in the civil case means that someone pays money that someone else gets. That may be unjust, but the cost of the penalty nets to zero. In the criminal case, nobody gets the life or the liberty that the innocent defendant loses. So convicting the innocent is more costly in the criminal case, which is a reason for a higher standard of proof. </w:t>
      </w:r>
    </w:p>
    <w:p w14:paraId="50566E19" w14:textId="77777777" w:rsidR="001666CA" w:rsidRDefault="001666CA" w:rsidP="001666CA">
      <w:r>
        <w:t xml:space="preserve">The argument can be generalized both to standards of proof in other legal systems and to other ways of holding down punishment costs. In Islamic law, giving the victim or his heir the choice between retaliation and </w:t>
      </w:r>
      <w:r>
        <w:rPr>
          <w:i/>
        </w:rPr>
        <w:t>diya</w:t>
      </w:r>
      <w:r>
        <w:t>, blood money, makes it possible to substitute an efficient punishment for an inefficient one. So does the out-of-court settlement in English criminal law, legal and encouraged for misdemeanors, illegal but, I have argued, common for felonies.</w:t>
      </w:r>
    </w:p>
    <w:p w14:paraId="1ECA8DE0" w14:textId="77777777" w:rsidR="001666CA" w:rsidRPr="001E43BF" w:rsidRDefault="001666CA" w:rsidP="001666CA">
      <w:pPr>
        <w:rPr>
          <w:color w:val="FF0000"/>
        </w:rPr>
      </w:pPr>
      <w:r>
        <w:t>A legal system could compensate for a higher standard of proof with more severe punishment of those convicted, thus maintaining the same level of deterrence. One cost of that approach is that it may require a shift from an efficient punishment, fines, to less efficient alternatives such as imprisonment, corporal punishment, or execution, there being a limit to how large a fine a defendant can pay.</w:t>
      </w:r>
    </w:p>
    <w:p w14:paraId="5BB18737" w14:textId="77777777" w:rsidR="001666CA" w:rsidRDefault="001666CA" w:rsidP="001666CA">
      <w:pPr>
        <w:pStyle w:val="Heading3"/>
      </w:pPr>
      <w:r>
        <w:t>Technologies for Revealing Truth</w:t>
      </w:r>
    </w:p>
    <w:p w14:paraId="449D35B4" w14:textId="77777777" w:rsidR="001666CA" w:rsidRDefault="001666CA" w:rsidP="001666CA">
      <w:r>
        <w:t xml:space="preserve">One way of avoiding the conviction of innocents is to require a high standard of proof. Another is to change the rules in ways designed to do a better job of judging guilt. That might mean longer trials, greater expenditure by the court and the parties on proving or disproving charges. It also might mean changes in how cases are tried. What changes improve performance, what changes worsen it, may depend on details of the legal system and the society. </w:t>
      </w:r>
    </w:p>
    <w:p w14:paraId="5E22035F" w14:textId="77777777" w:rsidR="001666CA" w:rsidRDefault="001666CA" w:rsidP="001666CA">
      <w:r>
        <w:t xml:space="preserve">Consider jury selection. Early medieval England used an informed jury, jurors local to the defendant and so likely to already know much of the information relevant to his guilt or innocence. That advantage was balanced by the risk that they might be biased for or against a defendant they knew. The modern U.S. system takes the opposite approach, doing its best to exclude from the jury anyone with any connection to the defendant in order to get a neutral jury, relying on the trial process to inform an initially uninformed jury. Which approach is better depends in part on which is more likely to be biased, the neighbors or the trial apparatus, in part on how rich the society is. A poor society may be better off relying on the information the jurors already have instead of throwing that information away and paying someone to replace it. </w:t>
      </w:r>
    </w:p>
    <w:p w14:paraId="59E82A34" w14:textId="77777777" w:rsidR="001666CA" w:rsidRDefault="001666CA" w:rsidP="001666CA">
      <w:r>
        <w:t>Another issue in how cases are tried is the choice between an inquisitorial system, in which the court apparatus discovers and presents evidence to judge or jury, and an adversarial system, where the prosecution offers evidence for guilt, the defense for innocence. A disadvantage of the latter is that someone looking for evidence on one side may ignore any he turns up for the other. An advantage is that, with a partisan on each side, there is less risk that partisanship on the part of the investigator will produce a biased selection of evidence.</w:t>
      </w:r>
    </w:p>
    <w:p w14:paraId="3AA7ECCD" w14:textId="77777777" w:rsidR="001666CA" w:rsidRDefault="001666CA" w:rsidP="001666CA">
      <w:r>
        <w:t>There is another and less obvious advantage to the adversarial system. The payoff to looking for something is higher the more likely you are to find it. An innocent defendant can expect that the facts will, on average, support his innocence, and so has more incentive to pay the costs of an extended search for evidence than a guilty defendant. Thus the self-interested behavior of the defendant reveals his private information of guilt or innocence in a form, evidence of innocence produced, that feeds into the trial process. The inquisitorial system has no such mechanism, since the search for evidence is being done by court officials with no access to the defendant’s private information. On the other hand, under the adversarial system how much is spent looking for evidence of innocence depends in part on how rich the defendant is. The inquisitorial system can choose to spend the same amount investigating the innocence of rich and poor.</w:t>
      </w:r>
      <w:r>
        <w:rPr>
          <w:rStyle w:val="FootnoteReference"/>
        </w:rPr>
        <w:footnoteReference w:id="12"/>
      </w:r>
    </w:p>
    <w:p w14:paraId="57343B21" w14:textId="77777777" w:rsidR="001666CA" w:rsidRDefault="001666CA" w:rsidP="001666CA">
      <w:r>
        <w:t xml:space="preserve">Another way that the accuracy of trial outcomes might be improved is by reducing restrictions on how evidence can be obtained. A modern example is surveillance. Tapping phones, setting up video cameras on poles in public places and recording their output, requiring phone companies to keep records of who called whom when and make them available to law enforcement, monitoring activities on the internet, searching homes and computers, are all technologies that can be used to gather evidence to help identify the guilty. But such technologies also have costs: They reduce privacy and provide opportunities for blackmail by law enforcement agents, agencies or the politicians they serve. Those are reasons to restrict such activities. </w:t>
      </w:r>
    </w:p>
    <w:p w14:paraId="09CD45D8" w14:textId="77777777" w:rsidR="001666CA" w:rsidRDefault="001666CA" w:rsidP="001666CA">
      <w:r>
        <w:t>One approach to doing so</w:t>
      </w:r>
      <w:r w:rsidRPr="0023241C">
        <w:t xml:space="preserve"> </w:t>
      </w:r>
      <w:r>
        <w:t>in modern U.S. law is the exclusionary rule: Evidence obtained by an illegal search cannot be used at trial. That reduces but does not eliminate the incentive to conduct an illegal search; the information produced might be used without its origin being revealed. According to news stories published in 2013, evidence produced by surveillance justified for national security was being funneled to law enforcement agencies acting against domestic crime. The recipients were instructed that, once they had the data, they should reconstruct it by normal investigatory techniques and, at trial, conceal its origin.</w:t>
      </w:r>
      <w:r>
        <w:rPr>
          <w:rFonts w:ascii="Times" w:eastAsia="Times" w:hAnsi="Times" w:cs="Times"/>
          <w:vertAlign w:val="superscript"/>
        </w:rPr>
        <w:footnoteReference w:id="13"/>
      </w:r>
    </w:p>
    <w:p w14:paraId="22FD35AE" w14:textId="77777777" w:rsidR="001666CA" w:rsidRDefault="001666CA" w:rsidP="001666CA">
      <w:r>
        <w:t xml:space="preserve">I have already mentioned an older investigatory technology still not entirely abandoned: torture. One argument against it is that a defendant who is tortured and acquitted has been punished by torture, perhaps permanently injured, for a crime he did not commit. Another, noted at least as far back as Periclean Athens, is that under torture even an innocent defendant may confess. </w:t>
      </w:r>
    </w:p>
    <w:p w14:paraId="67010F41" w14:textId="77777777" w:rsidR="001666CA" w:rsidRDefault="001666CA" w:rsidP="001666CA">
      <w:pPr>
        <w:rPr>
          <w:rFonts w:ascii="Arial Unicode MS" w:eastAsia="Arial Unicode MS" w:hAnsi="Arial Unicode MS" w:cs="Arial Unicode MS"/>
        </w:rPr>
      </w:pPr>
      <w:r>
        <w:t>The law of the Visigoths,</w:t>
      </w:r>
      <w:r>
        <w:rPr>
          <w:rFonts w:ascii="Times" w:eastAsia="Times" w:hAnsi="Times" w:cs="Times"/>
          <w:vertAlign w:val="superscript"/>
        </w:rPr>
        <w:footnoteReference w:id="14"/>
      </w:r>
      <w:r>
        <w:t xml:space="preserve"> the earliest Germanic law code to have survived, offered a solution to the second problem. Torture of a defendant was only permitted if there were facts of the crime that an innocent defendant would not know. A confession was only accepted if it included such facts. The same approach is sometimes used in modern law in deciding whether a confession should be believed.</w:t>
      </w:r>
    </w:p>
    <w:p w14:paraId="2EB30F8C" w14:textId="77777777" w:rsidR="001666CA" w:rsidRDefault="001666CA" w:rsidP="001666CA">
      <w:r>
        <w:t>Both the ancient and the modern rule have the same weakness. The interrogator knows the relevant facts. If he wishes to convict the defendant, all he has to do is leak the facts to him when nobody else is around and then use torture to compel him to include them in his confession.</w:t>
      </w:r>
    </w:p>
    <w:p w14:paraId="26684D05" w14:textId="77777777" w:rsidR="001666CA" w:rsidRDefault="001666CA" w:rsidP="001666CA">
      <w:pPr>
        <w:rPr>
          <w:rFonts w:ascii="Arial Unicode MS" w:eastAsia="Arial Unicode MS" w:hAnsi="Arial Unicode MS" w:cs="Arial Unicode MS"/>
        </w:rPr>
      </w:pPr>
      <w:r>
        <w:t>Consider an imaginary substitute without those problems, a truth drug that produced reliable information with no harm to the defendant. The arguments against torture would then not apply. Should we use it?</w:t>
      </w:r>
    </w:p>
    <w:p w14:paraId="0A5F8685" w14:textId="77777777" w:rsidR="001666CA" w:rsidRDefault="001666CA" w:rsidP="001666CA">
      <w:r>
        <w:t>A possible response is that we want to do a good job of enforcing the law, but not too good. My analysis so far has taken it for granted that the laws being enforced are ones that should be enforced. That may not always be the case. An easy and reliable way of convicting all criminals is also a way of enforcing tyrannical laws. Limits to how good the technologies for law enforcement are may be justified as limits on the power of whoever is making and enforcing the laws.</w:t>
      </w:r>
    </w:p>
    <w:p w14:paraId="0DB85DA8" w14:textId="77777777" w:rsidR="001666CA" w:rsidRDefault="001666CA" w:rsidP="001666CA">
      <w:pPr>
        <w:pStyle w:val="Heading3"/>
      </w:pPr>
      <w:r>
        <w:t>Changing Incentives</w:t>
      </w:r>
    </w:p>
    <w:p w14:paraId="74EDB87D" w14:textId="77777777" w:rsidR="001666CA" w:rsidRDefault="001666CA" w:rsidP="001666CA">
      <w:r>
        <w:t>Another approach to the problem of protecting the innocent from conviction is to make it in the interest of prosecutors to avoid prosecuting innocent defendants. An example is provided by Athenian law. Their equivalent of criminal cases could, like criminal cases in eighteenth-century England, be privately prosecuted by any adult male (in the English case also female) citizen. Conviction usually led to a large fine, a share of which went to the successful prosecutor. To reduce the risk that a prosecutor might deliberately target an innocent defendant, Athenian law provided that a prosecutor who failed to get at least 20% of the jury to vote for conviction was himself fined and barred from any future prosecution of that sort of case.</w:t>
      </w:r>
      <w:r>
        <w:rPr>
          <w:rFonts w:ascii="Times" w:eastAsia="Times" w:hAnsi="Times" w:cs="Times"/>
          <w:vertAlign w:val="superscript"/>
        </w:rPr>
        <w:footnoteReference w:id="15"/>
      </w:r>
      <w:r>
        <w:t xml:space="preserve"> That gave potential prosecutors an incentive to avoid prosecuting defendants who had a substantial chance of proving their innocence. In the </w:t>
      </w:r>
      <w:proofErr w:type="spellStart"/>
      <w:r>
        <w:rPr>
          <w:i/>
          <w:iCs/>
        </w:rPr>
        <w:t>Guta</w:t>
      </w:r>
      <w:proofErr w:type="spellEnd"/>
      <w:r>
        <w:rPr>
          <w:i/>
          <w:iCs/>
        </w:rPr>
        <w:t xml:space="preserve"> Lag</w:t>
      </w:r>
      <w:r>
        <w:t>, a thirteenth-century Swedish law code, a woman found guilty of killing her child owed a three mark fine. If she was found innocent, her accusers owed her three marks.</w:t>
      </w:r>
      <w:r>
        <w:rPr>
          <w:rFonts w:ascii="Times" w:eastAsia="Times" w:hAnsi="Times" w:cs="Times"/>
          <w:vertAlign w:val="superscript"/>
        </w:rPr>
        <w:footnoteReference w:id="16"/>
      </w:r>
    </w:p>
    <w:p w14:paraId="5ECB9808" w14:textId="77777777" w:rsidR="001666CA" w:rsidRDefault="001666CA" w:rsidP="001666CA">
      <w:r>
        <w:t xml:space="preserve">The Athenian approach could be applied to a modern legal system by penalizing a tort plaintiff or public prosecutor who failed to get more than some minimum number of jurors to vote for conviction. Alternatively, one might impose a penalty on prosecutors responsible for convictions later shown to be mistaken, as in the case of DNA reversals. </w:t>
      </w:r>
    </w:p>
    <w:p w14:paraId="4394583A" w14:textId="77777777" w:rsidR="001666CA" w:rsidRDefault="001666CA" w:rsidP="001666CA">
      <w:r>
        <w:t>The problem with the first version is that it gives prosecutors who suspect the defendant may be innocent an incentive to conceal as much as possible of the evidence from the jury. The problem with the second is that it gives a prosecutor who suspects that he may have convicted an innocent defendant an incentive to prevent the error from being discovered.</w:t>
      </w:r>
    </w:p>
    <w:p w14:paraId="2D09836F" w14:textId="77777777" w:rsidR="001666CA" w:rsidRDefault="001666CA" w:rsidP="001666CA">
      <w:r>
        <w:t>That is not a purely theoretical issue. There is no legal penalty in modern U.S. law for a prosecutor who turns out to have convicted an innocent defendant, but there are costs to his reputation. Reading accounts of attempts by innocence projects to check the results of old cases using DNA testing, a technology not available when the cases were tried, one is struck by how reluctant many of the authorities controlling access to the evidence were to make it available.</w:t>
      </w:r>
      <w:r>
        <w:rPr>
          <w:rFonts w:ascii="Times" w:eastAsia="Times" w:hAnsi="Times" w:cs="Times"/>
          <w:vertAlign w:val="superscript"/>
        </w:rPr>
        <w:footnoteReference w:id="17"/>
      </w:r>
    </w:p>
    <w:p w14:paraId="61041569" w14:textId="77777777" w:rsidR="001666CA" w:rsidRDefault="001666CA" w:rsidP="001666CA">
      <w:r>
        <w:t>For an alternative approach to protecting the innocent, consider prosecution motivated by private deterrence. Arresting the first feeble-minded beggar found near the site of a crime and railroading him to the gallows works just as well as hunting down the actual perpetrator from the standpoint of a private prosecutor motivated by a reward or a police officer angling for promotion–and it may be a lot less work. But if potential felons are likely to know whether the person convicted is the one who committed the crime, as the real criminal certainly does, private deterrence depends on convicting the right person. It is thus one mechanism for prosecution, perhaps the only one, that comes with a built-in incentive to convict the right person.</w:t>
      </w:r>
    </w:p>
    <w:p w14:paraId="74B6400C" w14:textId="77777777" w:rsidR="001666CA" w:rsidRDefault="001666CA" w:rsidP="001666CA">
      <w:r>
        <w:t>Enforcers are not the only people whose incentives matter. Criminals and witnesses matter too. In many legal systems punishment is reduced for an offender who turns himself in or increased for an offender who takes actions, such as concealing the body of his victim, that make it harder to discover the crime and assign blame.</w:t>
      </w:r>
      <w:r>
        <w:rPr>
          <w:rFonts w:ascii="Times" w:eastAsia="Times" w:hAnsi="Times" w:cs="Times"/>
          <w:vertAlign w:val="superscript"/>
        </w:rPr>
        <w:footnoteReference w:id="18"/>
      </w:r>
      <w:r>
        <w:t xml:space="preserve"> That too is a mechanism for making it easier to selectively convict the guilty. In many legal systems, perjured testimony is itself criminal, making it less likely that innocent defendants will be convicted or guilty acquitted. In several, including Jewish law and the legal system of Periclean Athens, false testimony that led to the execution of an innocent defendant was a capital offense. </w:t>
      </w:r>
    </w:p>
    <w:p w14:paraId="0EC40393" w14:textId="77777777" w:rsidR="001666CA" w:rsidRDefault="001666CA" w:rsidP="001666CA">
      <w:pPr>
        <w:pStyle w:val="Heading2"/>
      </w:pPr>
      <w:r>
        <w:t>Legal Systems and the Incentives They Provide</w:t>
      </w:r>
    </w:p>
    <w:p w14:paraId="10C9D195" w14:textId="77777777" w:rsidR="001666CA" w:rsidRDefault="001666CA" w:rsidP="001666CA">
      <w:r>
        <w:t>So far we have been looking at the problem of the incentive to enforce and the associated problem of the conviction of innocent defendants from a perspective that cuts across legal systems. How does the logic apply to differing mechanisms of enforcement?</w:t>
      </w:r>
    </w:p>
    <w:p w14:paraId="2979F6EE" w14:textId="77777777" w:rsidR="001666CA" w:rsidRDefault="001666CA" w:rsidP="001666CA">
      <w:pPr>
        <w:pStyle w:val="Heading3"/>
      </w:pPr>
      <w:r>
        <w:t xml:space="preserve"> </w:t>
      </w:r>
      <w:r>
        <w:rPr>
          <w:lang w:val="de-DE"/>
        </w:rPr>
        <w:t>Feud</w:t>
      </w:r>
    </w:p>
    <w:p w14:paraId="4702CBF9" w14:textId="77777777" w:rsidR="001666CA" w:rsidRDefault="001666CA" w:rsidP="001666CA">
      <w:r>
        <w:t>Someone considering a demand for compensation has two incentives for making it, compensation and deterrence. He has one incentive not to—the violence that may result, including both the immediate clash if he tries to carry out his threat and subsequent conflicts if the other party retaliates. The clearer it is that he is in the right and the other in the wrong, as judged by potential allies of both, the more likely the other is to give in to his demand and the lower the expected costs of conflict. How likely a pure feud system is to punish the right people thus depends on how accurately others in the community can judge guilt, which explains why such systems typically include some mechanism for third-party arbitration. The verdict of a trusted arbitrator or court provides interested third parties with information on who is at fault without requiring them to investigate the claims of the parties themselves.</w:t>
      </w:r>
    </w:p>
    <w:p w14:paraId="5157DC2F" w14:textId="77777777" w:rsidR="001666CA" w:rsidRPr="008A2E8E" w:rsidRDefault="001666CA" w:rsidP="001666CA">
      <w:r>
        <w:t>The same considerations come in on the benefit side of the calculation. Starting a feud only provides deterrence against future wrongs if those who might commit them believe that you really have been wronged, hence take your response as evidence that it would be prudent for them not to wrong you. The less clear the evidence for your position is, the less benefit you get from demanding compensation or, if it is not forthcoming, carrying out the threatened violence. If your neighbors consider your action entirely unjustified it becomes evidence not that it is risky to wrong you but that it is risky to have anything to do with you, perhaps even that you are a public danger who should be dealt with.</w:t>
      </w:r>
    </w:p>
    <w:p w14:paraId="32A6D0EA" w14:textId="77777777" w:rsidR="001666CA" w:rsidRDefault="001666CA" w:rsidP="001666CA">
      <w:pPr>
        <w:pStyle w:val="Heading3"/>
      </w:pPr>
      <w:r>
        <w:rPr>
          <w:lang w:val="fr-FR"/>
        </w:rPr>
        <w:t>Reputational Enforcement</w:t>
      </w:r>
    </w:p>
    <w:p w14:paraId="44A972AE" w14:textId="77777777" w:rsidR="001666CA" w:rsidRDefault="001666CA" w:rsidP="001666CA">
      <w:r>
        <w:t xml:space="preserve">Tort law, criminal law and feud deter offenses by imposing penalties on offenders; the offender is punished due to actions by someone trying to punish him. Reputational enforcement also imposes costs on an offender, but those costs are an indirect effect of individuals choosing to protect themselves by not dealing with parties they believe cannot be trusted. </w:t>
      </w:r>
    </w:p>
    <w:p w14:paraId="33A1569A" w14:textId="77777777" w:rsidR="001666CA" w:rsidRDefault="001666CA" w:rsidP="001666CA">
      <w:r>
        <w:t>If their judgment is correct, their action benefits them; if they are wrong, they are giving up opportunities for potentially beneficial transactions. That gives them an incentive to distinguish innocent from guilty and, unlike prosecutors who will be rewarded for a conviction, no incentive to convict the innocent. But while there is no benefit to convicting the innocent there is in most cases only a small cost to doing so, since there are probably other department stores and diamond merchants to deal with. Hence the third parties whose acts provide reputational enforcement have only a weak incentive to avoid convicting the innocent.</w:t>
      </w:r>
    </w:p>
    <w:p w14:paraId="4F84202B" w14:textId="77777777" w:rsidR="001666CA" w:rsidRDefault="001666CA" w:rsidP="001666CA">
      <w:r>
        <w:t>How serious this problem is depends on how easily third parties can determine who is at fault in a dispute. If doing so is hard and the benefit small they may instead assign some probability of guilt to the offender, some to the complaining victim, and avoid dealing with both—in which case, as pointed out in the previous chapter, complaining becomes a losing strategy and reputational enforcement breaks down. That is again an argument for mechanisms, such as arbitration, that provide third parties with information without requiring them to independently judge the merits of a controversy.</w:t>
      </w:r>
    </w:p>
    <w:p w14:paraId="1AD303BD" w14:textId="77777777" w:rsidR="001666CA" w:rsidRPr="008A2E8E" w:rsidRDefault="001666CA" w:rsidP="001666CA">
      <w:pPr>
        <w:pStyle w:val="Heading4"/>
      </w:pPr>
      <w:r>
        <w:t>Ostracism</w:t>
      </w:r>
    </w:p>
    <w:p w14:paraId="2C4335A4" w14:textId="77777777" w:rsidR="001666CA" w:rsidRDefault="001666CA" w:rsidP="001666CA">
      <w:r>
        <w:t>Punishing rules violators by ostracism has one attractive feature in common with reputational enforcement: The punishment is costly for the ones who impose it as well as the one it is imposed on, giving the former some incentive to get it right. On the other hand, it is easy to imagine circumstances where one member of a community can benefit by expelling another, perhaps a rival in love or communal politics. If the former is influential or very persuasive and the latter unpopular, there is an incentive for, and risk of, false conviction.</w:t>
      </w:r>
    </w:p>
    <w:p w14:paraId="296D8F19" w14:textId="77777777" w:rsidR="001666CA" w:rsidRDefault="001666CA" w:rsidP="001666CA">
      <w:pPr>
        <w:pStyle w:val="Heading3"/>
      </w:pPr>
      <w:r>
        <w:rPr>
          <w:lang w:val="fr-FR"/>
        </w:rPr>
        <w:t>Divine Enforcement</w:t>
      </w:r>
    </w:p>
    <w:p w14:paraId="6B178699" w14:textId="77777777" w:rsidR="001666CA" w:rsidRDefault="001666CA" w:rsidP="001666CA">
      <w:r>
        <w:t xml:space="preserve">If potential offenders believe in a supernatural power that punishes those who violate divine law, they have an incentive not to do so. Religion provides the perfect mechanism for punishing the guilty and only the guilty, provided that the religion is true and the divinity omniscient. It works reasonably well even if the religion is not true, provided that potential offenders believe in it. A traditional Romani has an incentive to avoid pollution even if he is sure nobody is watching, although less than when supernatural sanctions are reinforced by social sanctions, and similarly, </w:t>
      </w:r>
      <w:r>
        <w:rPr>
          <w:i/>
          <w:iCs/>
        </w:rPr>
        <w:t>mutatis mutandis</w:t>
      </w:r>
      <w:r>
        <w:t>, for a believing Jew or Muslim.</w:t>
      </w:r>
    </w:p>
    <w:p w14:paraId="00939798" w14:textId="77777777" w:rsidR="001666CA" w:rsidRDefault="001666CA" w:rsidP="001666CA">
      <w:r>
        <w:t xml:space="preserve">There are problems with this approach if implemented without the assistance of an actual divinity. Religious law must be interpreted by someone. If the interpretation is by the individual believer, he may commit actions he ought not commit if he can persuade himself that what he wants to do is not sinful, every man being a biased judge in his own case. If interpretation is by others, they may use the threat of divine punishment to serve mundane objectives. </w:t>
      </w:r>
    </w:p>
    <w:p w14:paraId="392B4702" w14:textId="77777777" w:rsidR="001666CA" w:rsidRDefault="001666CA" w:rsidP="001666CA">
      <w:r>
        <w:t>Peter Leeson, in an article on medieval ordeals,</w:t>
      </w:r>
      <w:r>
        <w:rPr>
          <w:rFonts w:eastAsia="Times New Roman"/>
          <w:vertAlign w:val="superscript"/>
        </w:rPr>
        <w:footnoteReference w:id="19"/>
      </w:r>
      <w:r>
        <w:t xml:space="preserve"> describes an ingenious mechanism to leverage religious belief in the service of human enforcement. The legal system was structured in a way that gave accused defendants the opportunity to undergo an ordeal or avoid one. Since defendants believed that God would reveal guilt or innocence, guilty defendants were reluctant to undergo ordeals. The priests, realizing that most of those who chose ordeals were innocent, rigged the ordeals to acquit most defendants. In support of that interpretation, Leeson offers evidence of an implausibly large number of accused criminals who succeeded in picking up purportedly red-hot iron or plunging their hands into boiling water without injury. He also points to a collection of cases where the ordeal of submersion was given only to men–because, he argued, women were more likely to float and so be convicted.</w:t>
      </w:r>
    </w:p>
    <w:p w14:paraId="4C4FF8AF" w14:textId="77777777" w:rsidR="001666CA" w:rsidRDefault="001666CA" w:rsidP="001666CA">
      <w:pPr>
        <w:pStyle w:val="Heading2"/>
      </w:pPr>
      <w:r>
        <w:t>Correcting Mistakes</w:t>
      </w:r>
    </w:p>
    <w:p w14:paraId="33043887" w14:textId="77777777" w:rsidR="001666CA" w:rsidRDefault="001666CA" w:rsidP="001666CA">
      <w:r>
        <w:t>A final issue is what can be done about correcting mistakes when and if they are discovered. The answer depends in part on the form of punishment. If it is a fine or a damage payment the money can, at least in principle, be returned. If it is a continuing punishment, such as imprisonment or ostracism, the convicted innocent can at least be relieved from the remainder of his sentence. When it is discovered that someone who was punished was innocent he can be compensated with money, provided he is still alive, and some modern legal systems attempt to do so.</w:t>
      </w:r>
      <w:r>
        <w:rPr>
          <w:rStyle w:val="FootnoteReference"/>
        </w:rPr>
        <w:footnoteReference w:id="20"/>
      </w:r>
      <w:r>
        <w:t xml:space="preserve"> If a defendant is discovered to be innocent only after he has been executed, on the other hand, there is not much that can be done to compensate him. </w:t>
      </w:r>
    </w:p>
    <w:p w14:paraId="506047F7" w14:textId="08A04C6B" w:rsidR="001666CA" w:rsidRDefault="001666CA" w:rsidP="001666CA">
      <w:r>
        <w:t>Another possibility, if a verdict is shown to have been mistaken, is to punish those responsible for the error. If the false conviction is due to misdeeds by the legal apparatus, a prosecutor who withheld exculpatory evidence or a police officer who gave false testimony, it seems just to punish those responsible. The problem with this approach, mentioned earlier, is that establishing the innocence of someone who has been convicted of a crime he did not commit is likely to require the cooperation of the legal system that convicted him, which is less likely to be available the greater the risk to members of that legal system.</w:t>
      </w:r>
      <w:r>
        <w:t xml:space="preserve"> </w:t>
      </w:r>
      <w:bookmarkStart w:id="1" w:name="_GoBack"/>
      <w:bookmarkEnd w:id="1"/>
    </w:p>
    <w:p w14:paraId="525858E1" w14:textId="77777777" w:rsidR="001666CA" w:rsidRDefault="001666CA" w:rsidP="001666CA"/>
    <w:p w14:paraId="37F25D71" w14:textId="77777777" w:rsidR="00EA0F4E" w:rsidRDefault="00EA0F4E"/>
    <w:sectPr w:rsidR="00EA0F4E" w:rsidSect="000D33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7E2BC" w14:textId="77777777" w:rsidR="00710608" w:rsidRDefault="00710608" w:rsidP="00EA0F4E">
      <w:pPr>
        <w:spacing w:after="0"/>
      </w:pPr>
      <w:r>
        <w:separator/>
      </w:r>
    </w:p>
  </w:endnote>
  <w:endnote w:type="continuationSeparator" w:id="0">
    <w:p w14:paraId="54F365DB" w14:textId="77777777" w:rsidR="00710608" w:rsidRDefault="00710608" w:rsidP="00EA0F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86991" w14:textId="77777777" w:rsidR="00710608" w:rsidRDefault="00710608" w:rsidP="00EA0F4E">
      <w:pPr>
        <w:spacing w:after="0"/>
      </w:pPr>
      <w:r>
        <w:separator/>
      </w:r>
    </w:p>
  </w:footnote>
  <w:footnote w:type="continuationSeparator" w:id="0">
    <w:p w14:paraId="2A0C5B72" w14:textId="77777777" w:rsidR="00710608" w:rsidRDefault="00710608" w:rsidP="00EA0F4E">
      <w:pPr>
        <w:spacing w:after="0"/>
      </w:pPr>
      <w:r>
        <w:continuationSeparator/>
      </w:r>
    </w:p>
  </w:footnote>
  <w:footnote w:id="1">
    <w:p w14:paraId="18B5B828" w14:textId="77777777" w:rsidR="001666CA" w:rsidRDefault="001666CA" w:rsidP="001666CA">
      <w:pPr>
        <w:pStyle w:val="Footnote"/>
        <w:numPr>
          <w:ilvl w:val="0"/>
          <w:numId w:val="0"/>
        </w:numPr>
      </w:pPr>
      <w:r>
        <w:rPr>
          <w:vertAlign w:val="superscript"/>
        </w:rPr>
        <w:footnoteRef/>
      </w:r>
      <w:r>
        <w:rPr>
          <w:rFonts w:eastAsia="Arial Unicode MS" w:cs="Arial Unicode MS"/>
        </w:rPr>
        <w:t xml:space="preserve"> At one point the combined royal and parliamentary rewards for convicting someone who committed a serious crime in or near London came to £140, three years’ income for a journeyman.</w:t>
      </w:r>
    </w:p>
  </w:footnote>
  <w:footnote w:id="2">
    <w:p w14:paraId="0E669FD1" w14:textId="77777777" w:rsidR="001666CA" w:rsidRDefault="001666CA" w:rsidP="001666CA">
      <w:pPr>
        <w:pStyle w:val="Footnote"/>
        <w:numPr>
          <w:ilvl w:val="0"/>
          <w:numId w:val="0"/>
        </w:numPr>
      </w:pPr>
      <w:r>
        <w:rPr>
          <w:vertAlign w:val="superscript"/>
        </w:rPr>
        <w:footnoteRef/>
      </w:r>
      <w:r>
        <w:rPr>
          <w:rFonts w:eastAsia="Arial Unicode MS" w:cs="Arial Unicode MS"/>
        </w:rPr>
        <w:t xml:space="preserve"> 1818 Bennet’s act, passed in 1818 in response to concerns with the perverse effect of blood money, including juries not trusting prosecutors and witnesses, replaced rewards with payment of costs as evaluated by the judge. </w:t>
      </w:r>
      <w:r>
        <w:rPr>
          <w:rFonts w:eastAsia="Arial Unicode MS" w:cs="Arial Unicode MS"/>
          <w:lang w:val="it-IT"/>
        </w:rPr>
        <w:t>Beattie 1986 pp. 58-59.</w:t>
      </w:r>
    </w:p>
  </w:footnote>
  <w:footnote w:id="3">
    <w:p w14:paraId="120DBAC5" w14:textId="77777777" w:rsidR="001666CA" w:rsidRPr="00013279" w:rsidRDefault="001666CA" w:rsidP="001666CA">
      <w:pPr>
        <w:pStyle w:val="FootnoteText"/>
        <w:rPr>
          <w:rStyle w:val="FootnoteTextChar"/>
          <w:iCs/>
        </w:rPr>
      </w:pPr>
      <w:r>
        <w:rPr>
          <w:rStyle w:val="FootnoteReference"/>
        </w:rPr>
        <w:footnoteRef/>
      </w:r>
      <w:r>
        <w:t xml:space="preserve"> </w:t>
      </w:r>
      <w:r>
        <w:rPr>
          <w:rStyle w:val="FootnoteTextChar"/>
        </w:rPr>
        <w:t>According to t</w:t>
      </w:r>
      <w:r w:rsidRPr="00013279">
        <w:rPr>
          <w:rStyle w:val="FootnoteTextChar"/>
        </w:rPr>
        <w:t xml:space="preserve">he National Registry of Exonerations, maintained by the law schools of the University of Michigan and Northwestern University, </w:t>
      </w:r>
      <w:r>
        <w:rPr>
          <w:rStyle w:val="FootnoteTextChar"/>
        </w:rPr>
        <w:t>15% of those who were exonerated had pled guilty. (</w:t>
      </w:r>
      <w:r w:rsidRPr="00013279">
        <w:rPr>
          <w:rStyle w:val="FootnoteTextChar"/>
        </w:rPr>
        <w:t>http://www.law.umich.edu/special/exoneration/Documents/NRE.Guilty.Plea.Article1.pdf</w:t>
      </w:r>
      <w:r>
        <w:rPr>
          <w:rStyle w:val="FootnoteTextChar"/>
        </w:rPr>
        <w:t xml:space="preserve">, dated </w:t>
      </w:r>
      <w:r w:rsidRPr="00013279">
        <w:t>24</w:t>
      </w:r>
      <w:r>
        <w:t xml:space="preserve"> </w:t>
      </w:r>
      <w:r w:rsidRPr="00013279">
        <w:t>November 2015</w:t>
      </w:r>
      <w:r>
        <w:t xml:space="preserve">, </w:t>
      </w:r>
      <w:r>
        <w:rPr>
          <w:rStyle w:val="FootnoteTextChar"/>
        </w:rPr>
        <w:t>viewed 3/18/17)</w:t>
      </w:r>
    </w:p>
  </w:footnote>
  <w:footnote w:id="4">
    <w:p w14:paraId="33C2C0A1" w14:textId="77777777" w:rsidR="001666CA" w:rsidRDefault="001666CA" w:rsidP="001666CA">
      <w:pPr>
        <w:pStyle w:val="Footnote"/>
        <w:numPr>
          <w:ilvl w:val="0"/>
          <w:numId w:val="0"/>
        </w:numPr>
      </w:pPr>
      <w:r>
        <w:rPr>
          <w:vertAlign w:val="superscript"/>
        </w:rPr>
        <w:footnoteRef/>
      </w:r>
      <w:r>
        <w:rPr>
          <w:rFonts w:eastAsia="Arial Unicode MS" w:cs="Arial Unicode MS"/>
        </w:rPr>
        <w:t xml:space="preserve"> Gross et. al. 2014 give 4.1% as a conservative estimate for the fraction of defendants sentenced to death who were innocent. Their conclusion is based on data on exonerations. A guilty defendant may be exonerated on the grounds that the evidence on which he was convicted was inadequate for criminal proof but still be guilty, but the authors believed that the bias in their numbers from counting all exonerations as implying innocence was more than outweighed by other biases in the opposite direction.</w:t>
      </w:r>
    </w:p>
    <w:p w14:paraId="5164A8A5" w14:textId="77777777" w:rsidR="001666CA" w:rsidRDefault="001666CA" w:rsidP="001666CA">
      <w:pPr>
        <w:pStyle w:val="Footnote"/>
        <w:numPr>
          <w:ilvl w:val="0"/>
          <w:numId w:val="0"/>
        </w:numPr>
      </w:pPr>
      <w:r>
        <w:t>Roman et. al. 2012 made use of a cohort of 634 Virginia cases dating from 1973 to 1987 for which tissue evidence happened to have survived. Their results suggest that in about 16% of the cases the evidence, if analyzed, would have reduced the probability of conviction (my analysis of their results).</w:t>
      </w:r>
    </w:p>
  </w:footnote>
  <w:footnote w:id="5">
    <w:p w14:paraId="1DA698B6" w14:textId="77777777" w:rsidR="001666CA" w:rsidRDefault="001666CA" w:rsidP="001666CA">
      <w:pPr>
        <w:pStyle w:val="Footnote"/>
        <w:numPr>
          <w:ilvl w:val="0"/>
          <w:numId w:val="0"/>
        </w:numPr>
      </w:pPr>
      <w:r>
        <w:rPr>
          <w:vertAlign w:val="superscript"/>
        </w:rPr>
        <w:footnoteRef/>
      </w:r>
      <w:r>
        <w:rPr>
          <w:rFonts w:eastAsia="Arial Unicode MS" w:cs="Arial Unicode MS"/>
          <w:lang w:val="pt-PT"/>
        </w:rPr>
        <w:t xml:space="preserve"> “</w:t>
      </w:r>
      <w:r>
        <w:rPr>
          <w:rFonts w:eastAsia="Arial Unicode MS" w:cs="Arial Unicode MS"/>
        </w:rPr>
        <w:t xml:space="preserve">For failure to arrest a thief or a robber within a month, he was to be punished with seven or seventeen blows with a light stick, respectively; for two months, seventeen or 27 blows, respectively; and for three months, 27 or 37 blows, respectively. On the other hand, he was to be rewarded for arresting a thief or robber within the deadline.” </w:t>
      </w:r>
      <w:proofErr w:type="spellStart"/>
      <w:r>
        <w:rPr>
          <w:rFonts w:eastAsia="Arial Unicode MS" w:cs="Arial Unicode MS"/>
        </w:rPr>
        <w:t>Ch’en</w:t>
      </w:r>
      <w:proofErr w:type="spellEnd"/>
      <w:r>
        <w:rPr>
          <w:rFonts w:eastAsia="Arial Unicode MS" w:cs="Arial Unicode MS"/>
        </w:rPr>
        <w:t xml:space="preserve"> 1979 on the rules for </w:t>
      </w:r>
      <w:r>
        <w:rPr>
          <w:rFonts w:eastAsia="Arial Unicode MS" w:cs="Arial Unicode MS"/>
          <w:lang w:val="de-DE"/>
        </w:rPr>
        <w:t>“</w:t>
      </w:r>
      <w:r>
        <w:rPr>
          <w:rFonts w:eastAsia="Arial Unicode MS" w:cs="Arial Unicode MS"/>
        </w:rPr>
        <w:t xml:space="preserve">archers,” drafted police officers, under the Yuan dynasty. </w:t>
      </w:r>
    </w:p>
  </w:footnote>
  <w:footnote w:id="6">
    <w:p w14:paraId="1B3D3EA2" w14:textId="77777777" w:rsidR="001666CA" w:rsidRDefault="001666CA" w:rsidP="001666CA">
      <w:pPr>
        <w:pStyle w:val="Footnote"/>
        <w:numPr>
          <w:ilvl w:val="0"/>
          <w:numId w:val="0"/>
        </w:numPr>
      </w:pPr>
      <w:r>
        <w:rPr>
          <w:vertAlign w:val="superscript"/>
        </w:rPr>
        <w:footnoteRef/>
      </w:r>
      <w:r>
        <w:rPr>
          <w:rFonts w:eastAsia="Arial Unicode MS" w:cs="Arial Unicode MS"/>
        </w:rPr>
        <w:t xml:space="preserve"> Mast et. al. 2000, September. Benson et. al. 1995. See also https://fee.org/articles/highway-robbery/. The problem may also appear in high profile cases where the prosecutor needs a conviction to further his political ambitions. </w:t>
      </w:r>
    </w:p>
  </w:footnote>
  <w:footnote w:id="7">
    <w:p w14:paraId="17988F64" w14:textId="77777777" w:rsidR="001666CA" w:rsidRDefault="001666CA" w:rsidP="001666CA">
      <w:pPr>
        <w:pStyle w:val="Footnote"/>
        <w:numPr>
          <w:ilvl w:val="0"/>
          <w:numId w:val="0"/>
        </w:numPr>
      </w:pPr>
      <w:r>
        <w:rPr>
          <w:vertAlign w:val="superscript"/>
        </w:rPr>
        <w:footnoteRef/>
      </w:r>
      <w:r>
        <w:rPr>
          <w:rFonts w:eastAsia="Arial Unicode MS" w:cs="Arial Unicode MS"/>
        </w:rPr>
        <w:t xml:space="preserve"> </w:t>
      </w:r>
      <w:r>
        <w:rPr>
          <w:rFonts w:eastAsia="Arial Unicode MS" w:cs="Arial Unicode MS"/>
          <w:lang w:val="nl-NL"/>
        </w:rPr>
        <w:t xml:space="preserve">Volokh </w:t>
      </w:r>
      <w:r>
        <w:rPr>
          <w:rFonts w:eastAsia="Arial Unicode MS" w:cs="Arial Unicode MS"/>
        </w:rPr>
        <w:t>1997 provides a detailed history of various versions of the rule.</w:t>
      </w:r>
    </w:p>
  </w:footnote>
  <w:footnote w:id="8">
    <w:p w14:paraId="52C1AE31" w14:textId="77777777" w:rsidR="001666CA" w:rsidRDefault="001666CA" w:rsidP="001666CA">
      <w:pPr>
        <w:pStyle w:val="Footnote"/>
        <w:numPr>
          <w:ilvl w:val="0"/>
          <w:numId w:val="0"/>
        </w:numPr>
      </w:pPr>
      <w:r>
        <w:rPr>
          <w:vertAlign w:val="superscript"/>
        </w:rPr>
        <w:footnoteRef/>
      </w:r>
      <w:r>
        <w:rPr>
          <w:rFonts w:eastAsia="Arial Unicode MS" w:cs="Arial Unicode MS"/>
        </w:rPr>
        <w:t xml:space="preserve"> For details see Leeson 2012 and Langbein 1978.</w:t>
      </w:r>
    </w:p>
  </w:footnote>
  <w:footnote w:id="9">
    <w:p w14:paraId="6B4476D9" w14:textId="77777777" w:rsidR="001666CA" w:rsidRDefault="001666CA" w:rsidP="001666CA">
      <w:pPr>
        <w:pStyle w:val="FootnoteText"/>
      </w:pPr>
      <w:r>
        <w:rPr>
          <w:rStyle w:val="FootnoteReference"/>
        </w:rPr>
        <w:footnoteRef/>
      </w:r>
      <w:r>
        <w:t xml:space="preserve"> </w:t>
      </w:r>
      <w:r w:rsidRPr="00AB72F3">
        <w:rPr>
          <w:i/>
        </w:rPr>
        <w:t>Pace</w:t>
      </w:r>
      <w:r>
        <w:t xml:space="preserve"> Langbein, the Jews made an even more extreme attempt, requiring not only two witnesses but two witnesses who had warned the offender in advance.</w:t>
      </w:r>
    </w:p>
  </w:footnote>
  <w:footnote w:id="10">
    <w:p w14:paraId="3C9055FF" w14:textId="77777777" w:rsidR="001666CA" w:rsidRDefault="001666CA" w:rsidP="001666CA">
      <w:pPr>
        <w:pStyle w:val="Footnote"/>
        <w:numPr>
          <w:ilvl w:val="0"/>
          <w:numId w:val="0"/>
        </w:numPr>
      </w:pPr>
      <w:r>
        <w:rPr>
          <w:vertAlign w:val="superscript"/>
        </w:rPr>
        <w:footnoteRef/>
      </w:r>
      <w:r>
        <w:t xml:space="preserve"> In the U.S. in 2006, an estimated 1.2 million persons were convicted of a felony. If each of them had had a jury trial of 7.2 days the total would have been 8.6 million trial days. Assuming that courts function five days a week, 52 weeks a year, felony cases alone would have required the full time effort of 33,000 judges. Add in a few more for the trials of defendants who were acquitted. There are about 30,000 judges in the state judicial systems and another 1,700 in the federal system. For each judge the process would need twelve jurors and a still larger number of attorneys, witnesses, court officers, additional members of the jury pool and the like. (</w:t>
      </w:r>
      <w:hyperlink r:id="rId1" w:history="1">
        <w:r>
          <w:rPr>
            <w:rStyle w:val="Hyperlink0"/>
          </w:rPr>
          <w:t>http://iaals.du.edu/sites/default/files/documents/publications/judge_faq.pdf</w:t>
        </w:r>
      </w:hyperlink>
      <w:r>
        <w:t xml:space="preserve">.) </w:t>
      </w:r>
    </w:p>
    <w:p w14:paraId="083FF886" w14:textId="77777777" w:rsidR="001666CA" w:rsidRDefault="001666CA" w:rsidP="001666CA">
      <w:pPr>
        <w:pStyle w:val="Footnote"/>
        <w:numPr>
          <w:ilvl w:val="0"/>
          <w:numId w:val="0"/>
        </w:numPr>
      </w:pPr>
      <w:r>
        <w:t xml:space="preserve">It is worth noting, however, that Periclean Athens employed as jurors an even larger fraction of its population. </w:t>
      </w:r>
    </w:p>
  </w:footnote>
  <w:footnote w:id="11">
    <w:p w14:paraId="192DDAD7" w14:textId="77777777" w:rsidR="001666CA" w:rsidRDefault="001666CA" w:rsidP="001666CA">
      <w:pPr>
        <w:pStyle w:val="Footnote"/>
        <w:numPr>
          <w:ilvl w:val="0"/>
          <w:numId w:val="0"/>
        </w:numPr>
      </w:pPr>
      <w:r>
        <w:rPr>
          <w:vertAlign w:val="superscript"/>
        </w:rPr>
        <w:footnoteRef/>
      </w:r>
      <w:r>
        <w:rPr>
          <w:rFonts w:eastAsia="Arial Unicode MS" w:cs="Arial Unicode MS"/>
        </w:rPr>
        <w:t xml:space="preserve"> Quoted by Elon from Joseph Caro, Shulhan Arukh HM Ch. 2.</w:t>
      </w:r>
    </w:p>
  </w:footnote>
  <w:footnote w:id="12">
    <w:p w14:paraId="0F311963" w14:textId="77777777" w:rsidR="001666CA" w:rsidRDefault="001666CA" w:rsidP="001666CA">
      <w:pPr>
        <w:pStyle w:val="FootnoteText"/>
      </w:pPr>
      <w:r>
        <w:rPr>
          <w:rStyle w:val="FootnoteReference"/>
        </w:rPr>
        <w:footnoteRef/>
      </w:r>
      <w:r>
        <w:t xml:space="preserve"> John Lott has argued that the fact that richer defendants get lighter sentences due to having better lawyers is evidence in favor of the efficiency of the legal system, since equal sentences would correspond to a higher fine for offenders with a higher opportunity cost for their time (Lott 1987). On the other hand, I have shown that under some circumstances it is efficient for wealthier offenders to pay higher fines. (Friedman 1981).</w:t>
      </w:r>
    </w:p>
    <w:p w14:paraId="69A7B60A" w14:textId="77777777" w:rsidR="001666CA" w:rsidRDefault="001666CA" w:rsidP="001666CA">
      <w:pPr>
        <w:pStyle w:val="FootnoteText"/>
      </w:pPr>
    </w:p>
  </w:footnote>
  <w:footnote w:id="13">
    <w:p w14:paraId="61FF9DFC" w14:textId="77777777" w:rsidR="001666CA" w:rsidRPr="00F07DFA" w:rsidRDefault="001666CA" w:rsidP="001666CA">
      <w:pPr>
        <w:pStyle w:val="Footnote"/>
        <w:numPr>
          <w:ilvl w:val="0"/>
          <w:numId w:val="0"/>
        </w:numPr>
        <w:rPr>
          <w:rFonts w:eastAsia="Arial Unicode MS" w:cs="Arial Unicode MS"/>
        </w:rPr>
      </w:pPr>
      <w:r w:rsidRPr="00400FCD">
        <w:rPr>
          <w:rStyle w:val="Footnoteanchor"/>
        </w:rPr>
        <w:t>13</w:t>
      </w:r>
      <w:r>
        <w:rPr>
          <w:rFonts w:eastAsia="Arial Unicode MS" w:cs="Arial Unicode MS"/>
        </w:rPr>
        <w:t xml:space="preserve"> “The document specifically directs agents to omit the SOD's involvement from investigative reports, affidavits, discussions with prosecutors and courtroom testimony. Agents are instructed to then use "normal investigative techniques to recreate the information provided by SOD.”” (From a Reuters story published on 7/5/13. </w:t>
      </w:r>
      <w:r w:rsidRPr="00F07DFA">
        <w:rPr>
          <w:rFonts w:eastAsia="Arial Unicode MS" w:cs="Arial Unicode MS"/>
        </w:rPr>
        <w:t>http://www.reuters.com/article/us-dea-sod-idUSBRE97409R20130805)</w:t>
      </w:r>
    </w:p>
    <w:p w14:paraId="265CAC28" w14:textId="77777777" w:rsidR="001666CA" w:rsidRPr="00A960AE" w:rsidRDefault="001666CA" w:rsidP="001666CA">
      <w:pPr>
        <w:pStyle w:val="Footnote"/>
        <w:numPr>
          <w:ilvl w:val="0"/>
          <w:numId w:val="0"/>
        </w:numPr>
        <w:rPr>
          <w:rFonts w:eastAsia="Arial Unicode MS" w:cs="Arial Unicode MS"/>
        </w:rPr>
      </w:pPr>
      <w:r>
        <w:rPr>
          <w:rFonts w:eastAsia="Arial Unicode MS" w:cs="Arial Unicode MS"/>
        </w:rPr>
        <w:t>The SOD is the Special Operations Division of the DEA, the Drug Enforcement Agency, which was funneling information obtained from the NSA and other sources to law enforcement agents.</w:t>
      </w:r>
    </w:p>
  </w:footnote>
  <w:footnote w:id="14">
    <w:p w14:paraId="4C454BAE" w14:textId="77777777" w:rsidR="001666CA" w:rsidRDefault="001666CA" w:rsidP="001666CA">
      <w:pPr>
        <w:pStyle w:val="Footnote"/>
        <w:numPr>
          <w:ilvl w:val="0"/>
          <w:numId w:val="0"/>
        </w:numPr>
      </w:pPr>
      <w:r>
        <w:rPr>
          <w:vertAlign w:val="superscript"/>
        </w:rPr>
        <w:footnoteRef/>
      </w:r>
      <w:r>
        <w:rPr>
          <w:rFonts w:eastAsia="Arial Unicode MS" w:cs="Arial Unicode MS"/>
        </w:rPr>
        <w:t xml:space="preserve"> Scott 1910.</w:t>
      </w:r>
    </w:p>
  </w:footnote>
  <w:footnote w:id="15">
    <w:p w14:paraId="19752130" w14:textId="77777777" w:rsidR="001666CA" w:rsidRDefault="001666CA" w:rsidP="001666CA">
      <w:pPr>
        <w:pStyle w:val="Footnote"/>
        <w:numPr>
          <w:ilvl w:val="0"/>
          <w:numId w:val="0"/>
        </w:numPr>
      </w:pPr>
      <w:r>
        <w:rPr>
          <w:vertAlign w:val="superscript"/>
        </w:rPr>
        <w:footnoteRef/>
      </w:r>
      <w:r>
        <w:rPr>
          <w:rFonts w:eastAsia="Arial Unicode MS" w:cs="Arial Unicode MS"/>
        </w:rPr>
        <w:t xml:space="preserve"> There was also a procedure by which three cases a year could be initiated for sycophancy, abusive prosecution, but the details of how it worked are obscure. MacDowell 1978 pp. 62-64.</w:t>
      </w:r>
    </w:p>
  </w:footnote>
  <w:footnote w:id="16">
    <w:p w14:paraId="3D86F326" w14:textId="77777777" w:rsidR="001666CA" w:rsidRDefault="001666CA" w:rsidP="001666CA">
      <w:pPr>
        <w:pStyle w:val="Footnote"/>
        <w:numPr>
          <w:ilvl w:val="0"/>
          <w:numId w:val="0"/>
        </w:numPr>
      </w:pPr>
      <w:r>
        <w:rPr>
          <w:vertAlign w:val="superscript"/>
        </w:rPr>
        <w:footnoteRef/>
      </w:r>
      <w:r>
        <w:rPr>
          <w:rFonts w:eastAsia="Arial Unicode MS" w:cs="Arial Unicode MS"/>
        </w:rPr>
        <w:t xml:space="preserve"> </w:t>
      </w:r>
      <w:proofErr w:type="spellStart"/>
      <w:r w:rsidRPr="000C2D9E">
        <w:rPr>
          <w:rFonts w:eastAsia="Arial Unicode MS" w:cs="Arial Unicode MS"/>
          <w:i/>
        </w:rPr>
        <w:t>Guta</w:t>
      </w:r>
      <w:proofErr w:type="spellEnd"/>
      <w:r w:rsidRPr="000C2D9E">
        <w:rPr>
          <w:rFonts w:eastAsia="Arial Unicode MS" w:cs="Arial Unicode MS"/>
          <w:i/>
        </w:rPr>
        <w:t xml:space="preserve"> Lag</w:t>
      </w:r>
      <w:r>
        <w:rPr>
          <w:rFonts w:eastAsia="Arial Unicode MS" w:cs="Arial Unicode MS"/>
        </w:rPr>
        <w:t xml:space="preserve"> p. 6, chapter 2.</w:t>
      </w:r>
    </w:p>
  </w:footnote>
  <w:footnote w:id="17">
    <w:p w14:paraId="7D2AC1EE" w14:textId="77777777" w:rsidR="001666CA" w:rsidRDefault="001666CA" w:rsidP="001666CA">
      <w:pPr>
        <w:pStyle w:val="Footnote"/>
        <w:numPr>
          <w:ilvl w:val="0"/>
          <w:numId w:val="0"/>
        </w:numPr>
      </w:pPr>
      <w:r>
        <w:rPr>
          <w:vertAlign w:val="superscript"/>
        </w:rPr>
        <w:footnoteRef/>
      </w:r>
      <w:r>
        <w:rPr>
          <w:rFonts w:eastAsia="Arial Unicode MS" w:cs="Arial Unicode MS"/>
        </w:rPr>
        <w:t xml:space="preserve"> Scheck et. al. 2000.</w:t>
      </w:r>
    </w:p>
  </w:footnote>
  <w:footnote w:id="18">
    <w:p w14:paraId="6C5ED273" w14:textId="77777777" w:rsidR="001666CA" w:rsidRDefault="001666CA" w:rsidP="001666CA">
      <w:pPr>
        <w:pStyle w:val="Footnote"/>
        <w:numPr>
          <w:ilvl w:val="0"/>
          <w:numId w:val="0"/>
        </w:numPr>
      </w:pPr>
      <w:r>
        <w:rPr>
          <w:vertAlign w:val="superscript"/>
        </w:rPr>
        <w:footnoteRef/>
      </w:r>
      <w:r>
        <w:rPr>
          <w:rFonts w:eastAsia="Arial Unicode MS" w:cs="Arial Unicode MS"/>
        </w:rPr>
        <w:t xml:space="preserve"> True of the Welsh legal system (Ireland 2015 pp. 3-4, 14, 16), the Icelandic legal system, and the Somali legal system. In Jewish law theft, secret taking, was punished more severely than robbery, open taking.</w:t>
      </w:r>
    </w:p>
  </w:footnote>
  <w:footnote w:id="19">
    <w:p w14:paraId="0CBC83E3" w14:textId="77777777" w:rsidR="001666CA" w:rsidRDefault="001666CA" w:rsidP="001666CA">
      <w:pPr>
        <w:pStyle w:val="Footnote"/>
        <w:numPr>
          <w:ilvl w:val="0"/>
          <w:numId w:val="0"/>
        </w:numPr>
      </w:pPr>
      <w:r>
        <w:rPr>
          <w:vertAlign w:val="superscript"/>
        </w:rPr>
        <w:footnoteRef/>
      </w:r>
      <w:r>
        <w:rPr>
          <w:rFonts w:eastAsia="Arial Unicode MS" w:cs="Arial Unicode MS"/>
        </w:rPr>
        <w:t xml:space="preserve"> Leeson 2012a.</w:t>
      </w:r>
    </w:p>
  </w:footnote>
  <w:footnote w:id="20">
    <w:p w14:paraId="371C438D" w14:textId="77777777" w:rsidR="001666CA" w:rsidRDefault="001666CA" w:rsidP="001666CA">
      <w:pPr>
        <w:pStyle w:val="FootnoteText"/>
      </w:pPr>
      <w:r>
        <w:rPr>
          <w:rStyle w:val="FootnoteReference"/>
        </w:rPr>
        <w:footnoteRef/>
      </w:r>
      <w:r>
        <w:t xml:space="preserve"> In the U.S., 32 states, the federal government and the district of Columbia have compensation statutes of some sort. Similar rules exist in many, but not all, other countries.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54390"/>
    <w:multiLevelType w:val="multilevel"/>
    <w:tmpl w:val="8174C2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9F65160"/>
    <w:multiLevelType w:val="hybridMultilevel"/>
    <w:tmpl w:val="B3381148"/>
    <w:lvl w:ilvl="0" w:tplc="D00E6242">
      <w:start w:val="1"/>
      <w:numFmt w:val="decimal"/>
      <w:pStyle w:val="Heading1"/>
      <w:lvlText w:val="%1."/>
      <w:lvlJc w:val="left"/>
      <w:pPr>
        <w:ind w:left="14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CB340D"/>
    <w:multiLevelType w:val="hybridMultilevel"/>
    <w:tmpl w:val="A8509860"/>
    <w:lvl w:ilvl="0" w:tplc="470636B8">
      <w:start w:val="1"/>
      <w:numFmt w:val="decimal"/>
      <w:pStyle w:val="Footnote"/>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9"/>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F4E"/>
    <w:rsid w:val="000D33B0"/>
    <w:rsid w:val="001666CA"/>
    <w:rsid w:val="00710608"/>
    <w:rsid w:val="0072724A"/>
    <w:rsid w:val="00730265"/>
    <w:rsid w:val="00DC48E1"/>
    <w:rsid w:val="00EA0F4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806FEF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A0F4E"/>
    <w:pPr>
      <w:spacing w:after="120"/>
      <w:ind w:firstLine="432"/>
      <w:jc w:val="both"/>
    </w:pPr>
    <w:rPr>
      <w:rFonts w:ascii="Times New Roman" w:eastAsiaTheme="minorEastAsia" w:hAnsi="Times New Roman" w:cs="Times New Roman"/>
    </w:rPr>
  </w:style>
  <w:style w:type="paragraph" w:styleId="Heading1">
    <w:name w:val="heading 1"/>
    <w:basedOn w:val="Normal"/>
    <w:next w:val="Normal"/>
    <w:link w:val="Heading1Char"/>
    <w:uiPriority w:val="99"/>
    <w:qFormat/>
    <w:rsid w:val="00EA0F4E"/>
    <w:pPr>
      <w:keepNext/>
      <w:keepLines/>
      <w:numPr>
        <w:numId w:val="2"/>
      </w:numPr>
      <w:spacing w:after="240"/>
      <w:ind w:left="360" w:firstLine="0"/>
      <w:jc w:val="center"/>
      <w:outlineLvl w:val="0"/>
    </w:pPr>
    <w:rPr>
      <w:rFonts w:ascii="Times" w:eastAsiaTheme="majorEastAsia" w:hAnsi="Times" w:cstheme="majorBidi"/>
      <w:b/>
      <w:bCs/>
      <w:sz w:val="28"/>
      <w:szCs w:val="28"/>
    </w:rPr>
  </w:style>
  <w:style w:type="paragraph" w:styleId="Heading2">
    <w:name w:val="heading 2"/>
    <w:basedOn w:val="Normal"/>
    <w:link w:val="Heading2Char"/>
    <w:qFormat/>
    <w:rsid w:val="00EA0F4E"/>
    <w:pPr>
      <w:ind w:firstLine="0"/>
      <w:jc w:val="center"/>
      <w:outlineLvl w:val="1"/>
    </w:pPr>
    <w:rPr>
      <w:rFonts w:ascii="Times" w:eastAsia="Times" w:hAnsi="Times"/>
      <w:b/>
      <w:bCs/>
      <w:color w:val="000000"/>
    </w:rPr>
  </w:style>
  <w:style w:type="paragraph" w:styleId="Heading3">
    <w:name w:val="heading 3"/>
    <w:basedOn w:val="Normal"/>
    <w:next w:val="BodyText"/>
    <w:link w:val="Heading3Char"/>
    <w:qFormat/>
    <w:rsid w:val="00EA0F4E"/>
    <w:pPr>
      <w:keepNext/>
      <w:widowControl w:val="0"/>
      <w:autoSpaceDN w:val="0"/>
      <w:adjustRightInd w:val="0"/>
      <w:spacing w:before="240"/>
      <w:ind w:firstLine="0"/>
      <w:jc w:val="center"/>
      <w:outlineLvl w:val="2"/>
    </w:pPr>
    <w:rPr>
      <w:rFonts w:ascii="Arial" w:eastAsia="Times New Roman" w:hAnsi="Arial"/>
      <w:sz w:val="22"/>
      <w:szCs w:val="22"/>
    </w:rPr>
  </w:style>
  <w:style w:type="paragraph" w:styleId="Heading4">
    <w:name w:val="heading 4"/>
    <w:basedOn w:val="Normal"/>
    <w:next w:val="Normal"/>
    <w:link w:val="Heading4Char"/>
    <w:unhideWhenUsed/>
    <w:qFormat/>
    <w:rsid w:val="00EA0F4E"/>
    <w:pPr>
      <w:keepNext/>
      <w:widowControl w:val="0"/>
      <w:autoSpaceDN w:val="0"/>
      <w:adjustRightInd w:val="0"/>
      <w:spacing w:before="240"/>
      <w:ind w:firstLine="0"/>
      <w:jc w:val="center"/>
      <w:outlineLvl w:val="3"/>
    </w:pPr>
    <w:rPr>
      <w:rFonts w:ascii="Times" w:eastAsia="ＭＳ 明朝"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A0F4E"/>
    <w:rPr>
      <w:rFonts w:ascii="Times" w:eastAsiaTheme="majorEastAsia" w:hAnsi="Times" w:cstheme="majorBidi"/>
      <w:b/>
      <w:bCs/>
      <w:sz w:val="28"/>
      <w:szCs w:val="28"/>
    </w:rPr>
  </w:style>
  <w:style w:type="character" w:customStyle="1" w:styleId="Heading2Char">
    <w:name w:val="Heading 2 Char"/>
    <w:basedOn w:val="DefaultParagraphFont"/>
    <w:link w:val="Heading2"/>
    <w:rsid w:val="00EA0F4E"/>
    <w:rPr>
      <w:rFonts w:ascii="Times" w:eastAsia="Times" w:hAnsi="Times" w:cs="Times New Roman"/>
      <w:b/>
      <w:bCs/>
      <w:color w:val="000000"/>
    </w:rPr>
  </w:style>
  <w:style w:type="character" w:customStyle="1" w:styleId="Heading3Char">
    <w:name w:val="Heading 3 Char"/>
    <w:basedOn w:val="DefaultParagraphFont"/>
    <w:link w:val="Heading3"/>
    <w:rsid w:val="00EA0F4E"/>
    <w:rPr>
      <w:rFonts w:ascii="Arial" w:eastAsia="Times New Roman" w:hAnsi="Arial" w:cs="Times New Roman"/>
      <w:sz w:val="22"/>
      <w:szCs w:val="22"/>
    </w:rPr>
  </w:style>
  <w:style w:type="character" w:customStyle="1" w:styleId="Heading4Char">
    <w:name w:val="Heading 4 Char"/>
    <w:basedOn w:val="DefaultParagraphFont"/>
    <w:link w:val="Heading4"/>
    <w:rsid w:val="00EA0F4E"/>
    <w:rPr>
      <w:rFonts w:ascii="Times" w:eastAsia="ＭＳ 明朝" w:hAnsi="Times" w:cs="Times New Roman"/>
    </w:rPr>
  </w:style>
  <w:style w:type="paragraph" w:styleId="FootnoteText">
    <w:name w:val="footnote text"/>
    <w:basedOn w:val="Normal"/>
    <w:link w:val="FootnoteTextChar"/>
    <w:qFormat/>
    <w:rsid w:val="00EA0F4E"/>
    <w:pPr>
      <w:ind w:firstLine="0"/>
    </w:pPr>
    <w:rPr>
      <w:rFonts w:eastAsia="Arial Unicode MS" w:cs="Arial Unicode MS"/>
      <w:iCs/>
      <w:sz w:val="20"/>
      <w:lang w:bidi="en-US"/>
    </w:rPr>
  </w:style>
  <w:style w:type="character" w:customStyle="1" w:styleId="FootnoteTextChar">
    <w:name w:val="Footnote Text Char"/>
    <w:basedOn w:val="DefaultParagraphFont"/>
    <w:link w:val="FootnoteText"/>
    <w:rsid w:val="00EA0F4E"/>
    <w:rPr>
      <w:rFonts w:ascii="Times New Roman" w:eastAsia="Arial Unicode MS" w:hAnsi="Times New Roman" w:cs="Arial Unicode MS"/>
      <w:iCs/>
      <w:sz w:val="20"/>
      <w:lang w:bidi="en-US"/>
    </w:rPr>
  </w:style>
  <w:style w:type="character" w:styleId="FootnoteReference">
    <w:name w:val="footnote reference"/>
    <w:basedOn w:val="DefaultParagraphFont"/>
    <w:unhideWhenUsed/>
    <w:rsid w:val="00EA0F4E"/>
    <w:rPr>
      <w:vertAlign w:val="superscript"/>
    </w:rPr>
  </w:style>
  <w:style w:type="character" w:styleId="Hyperlink">
    <w:name w:val="Hyperlink"/>
    <w:basedOn w:val="DefaultParagraphFont"/>
    <w:uiPriority w:val="99"/>
    <w:unhideWhenUsed/>
    <w:rsid w:val="00EA0F4E"/>
    <w:rPr>
      <w:color w:val="0000FF"/>
      <w:u w:val="single"/>
    </w:rPr>
  </w:style>
  <w:style w:type="paragraph" w:styleId="Quote">
    <w:name w:val="Quote"/>
    <w:basedOn w:val="Normal"/>
    <w:link w:val="QuoteChar"/>
    <w:qFormat/>
    <w:rsid w:val="00EA0F4E"/>
    <w:pPr>
      <w:widowControl w:val="0"/>
      <w:autoSpaceDN w:val="0"/>
      <w:adjustRightInd w:val="0"/>
      <w:ind w:left="432" w:right="432" w:firstLine="288"/>
    </w:pPr>
    <w:rPr>
      <w:rFonts w:eastAsia="Times New Roman"/>
      <w:sz w:val="20"/>
    </w:rPr>
  </w:style>
  <w:style w:type="character" w:customStyle="1" w:styleId="QuoteChar">
    <w:name w:val="Quote Char"/>
    <w:basedOn w:val="DefaultParagraphFont"/>
    <w:link w:val="Quote"/>
    <w:rsid w:val="00EA0F4E"/>
    <w:rPr>
      <w:rFonts w:ascii="Times New Roman" w:eastAsia="Times New Roman" w:hAnsi="Times New Roman" w:cs="Times New Roman"/>
      <w:sz w:val="20"/>
    </w:rPr>
  </w:style>
  <w:style w:type="paragraph" w:customStyle="1" w:styleId="Footnote">
    <w:name w:val="Footnote"/>
    <w:basedOn w:val="Normal"/>
    <w:rsid w:val="00EA0F4E"/>
    <w:pPr>
      <w:widowControl w:val="0"/>
      <w:numPr>
        <w:numId w:val="1"/>
      </w:numPr>
      <w:suppressLineNumbers/>
      <w:tabs>
        <w:tab w:val="left" w:pos="288"/>
      </w:tabs>
      <w:suppressAutoHyphens/>
      <w:spacing w:line="200" w:lineRule="atLeast"/>
      <w:ind w:left="0" w:firstLine="0"/>
    </w:pPr>
    <w:rPr>
      <w:rFonts w:eastAsia="Arial" w:cs="Tahoma"/>
      <w:sz w:val="20"/>
      <w:szCs w:val="20"/>
      <w:lang w:bidi="en-US"/>
    </w:rPr>
  </w:style>
  <w:style w:type="character" w:customStyle="1" w:styleId="Hyperlink0">
    <w:name w:val="Hyperlink.0"/>
    <w:basedOn w:val="Hyperlink"/>
    <w:rsid w:val="00EA0F4E"/>
    <w:rPr>
      <w:color w:val="0000FF"/>
      <w:u w:val="single" w:color="0000FF"/>
    </w:rPr>
  </w:style>
  <w:style w:type="paragraph" w:styleId="BodyText">
    <w:name w:val="Body Text"/>
    <w:basedOn w:val="Normal"/>
    <w:link w:val="BodyTextChar"/>
    <w:uiPriority w:val="99"/>
    <w:semiHidden/>
    <w:unhideWhenUsed/>
    <w:rsid w:val="00EA0F4E"/>
  </w:style>
  <w:style w:type="character" w:customStyle="1" w:styleId="BodyTextChar">
    <w:name w:val="Body Text Char"/>
    <w:basedOn w:val="DefaultParagraphFont"/>
    <w:link w:val="BodyText"/>
    <w:uiPriority w:val="99"/>
    <w:semiHidden/>
    <w:rsid w:val="00EA0F4E"/>
    <w:rPr>
      <w:rFonts w:ascii="Times New Roman" w:eastAsiaTheme="minorEastAsia" w:hAnsi="Times New Roman" w:cs="Times New Roman"/>
    </w:rPr>
  </w:style>
  <w:style w:type="character" w:customStyle="1" w:styleId="Footnoteanchor">
    <w:name w:val="Footnote anchor"/>
    <w:qFormat/>
    <w:rsid w:val="001666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iaals.du.edu/sites/default/files/documents/publications/judge_faq.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4509</Words>
  <Characters>25707</Characters>
  <Application>Microsoft Macintosh Word</Application>
  <DocSecurity>0</DocSecurity>
  <Lines>214</Lines>
  <Paragraphs>60</Paragraphs>
  <ScaleCrop>false</ScaleCrop>
  <LinksUpToDate>false</LinksUpToDate>
  <CharactersWithSpaces>30156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Friedman</dc:creator>
  <cp:keywords/>
  <dc:description/>
  <cp:lastModifiedBy>David Friedman</cp:lastModifiedBy>
  <cp:revision>2</cp:revision>
  <dcterms:created xsi:type="dcterms:W3CDTF">2017-03-22T03:57:00Z</dcterms:created>
  <dcterms:modified xsi:type="dcterms:W3CDTF">2017-06-12T17:36:00Z</dcterms:modified>
</cp:coreProperties>
</file>